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Arial"/>
          <w:sz w:val="44"/>
          <w:szCs w:val="44"/>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hint="eastAsia" w:ascii="Arial" w:hAnsi="Arial" w:eastAsia="方正小标宋简体" w:cs="Arial"/>
          <w:sz w:val="44"/>
          <w:szCs w:val="44"/>
          <w:lang w:eastAsia="zh-CN"/>
        </w:rPr>
      </w:pPr>
    </w:p>
    <w:p>
      <w:pPr>
        <w:jc w:val="center"/>
        <w:rPr>
          <w:rFonts w:ascii="Arial" w:hAnsi="Arial" w:eastAsia="方正小标宋简体" w:cs="Times New Roman"/>
          <w:sz w:val="44"/>
          <w:szCs w:val="44"/>
        </w:rPr>
      </w:pPr>
      <w:r>
        <w:rPr>
          <w:rFonts w:ascii="Arial" w:hAnsi="Arial" w:eastAsia="方正小标宋简体" w:cs="Arial"/>
          <w:sz w:val="44"/>
          <w:szCs w:val="44"/>
        </w:rPr>
        <w:t>201</w:t>
      </w:r>
      <w:r>
        <w:rPr>
          <w:rFonts w:hint="eastAsia" w:ascii="Arial" w:hAnsi="Arial" w:eastAsia="方正小标宋简体" w:cs="Arial"/>
          <w:sz w:val="44"/>
          <w:szCs w:val="44"/>
          <w:lang w:val="en-US" w:eastAsia="zh-CN"/>
        </w:rPr>
        <w:t>8</w:t>
      </w:r>
      <w:r>
        <w:rPr>
          <w:rFonts w:hint="eastAsia" w:ascii="Arial" w:hAnsi="Arial" w:eastAsia="方正小标宋简体" w:cs="方正小标宋简体"/>
          <w:sz w:val="44"/>
          <w:szCs w:val="44"/>
        </w:rPr>
        <w:t>年长春市二道区房屋征收工作管理办公室部门预算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 xml:space="preserve">  </w:t>
      </w:r>
    </w:p>
    <w:p>
      <w:pPr>
        <w:jc w:val="center"/>
        <w:rPr>
          <w:rFonts w:ascii="Arial" w:hAnsi="Arial" w:eastAsia="方正小标宋简体" w:cs="Arial"/>
          <w:sz w:val="44"/>
          <w:szCs w:val="44"/>
        </w:rPr>
      </w:pP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八、征收办公室</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年部门支出总表情况</w:t>
      </w:r>
    </w:p>
    <w:p>
      <w:pPr>
        <w:spacing w:line="500" w:lineRule="exact"/>
        <w:rPr>
          <w:rFonts w:hint="eastAsia" w:ascii="宋体" w:hAnsi="宋体" w:cs="宋体"/>
          <w:sz w:val="32"/>
          <w:szCs w:val="32"/>
        </w:rPr>
      </w:pPr>
      <w:r>
        <w:rPr>
          <w:rFonts w:hint="eastAsia" w:ascii="宋体" w:hAnsi="宋体" w:cs="宋体"/>
          <w:sz w:val="32"/>
          <w:szCs w:val="32"/>
        </w:rPr>
        <w:t>九、运行经费支出情况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360" w:lineRule="auto"/>
        <w:jc w:val="both"/>
        <w:rPr>
          <w:rFonts w:ascii="宋体" w:hAnsi="宋体" w:cs="宋体"/>
          <w:sz w:val="44"/>
          <w:szCs w:val="44"/>
        </w:rPr>
      </w:pPr>
    </w:p>
    <w:p>
      <w:pPr>
        <w:spacing w:line="360" w:lineRule="auto"/>
        <w:jc w:val="both"/>
        <w:rPr>
          <w:rFonts w:ascii="宋体" w:hAnsi="宋体" w:cs="宋体"/>
          <w:sz w:val="44"/>
          <w:szCs w:val="44"/>
        </w:rPr>
      </w:pPr>
    </w:p>
    <w:p>
      <w:pPr>
        <w:spacing w:line="360" w:lineRule="auto"/>
        <w:jc w:val="center"/>
        <w:rPr>
          <w:rFonts w:ascii="宋体" w:cs="Times New Roman"/>
          <w:sz w:val="44"/>
          <w:szCs w:val="44"/>
        </w:rPr>
      </w:pPr>
      <w:r>
        <w:rPr>
          <w:rFonts w:ascii="宋体" w:hAnsi="宋体" w:cs="宋体"/>
          <w:sz w:val="44"/>
          <w:szCs w:val="44"/>
        </w:rPr>
        <w:t>201</w:t>
      </w:r>
      <w:r>
        <w:rPr>
          <w:rFonts w:hint="eastAsia" w:ascii="宋体" w:hAnsi="宋体" w:cs="宋体"/>
          <w:sz w:val="44"/>
          <w:szCs w:val="44"/>
          <w:lang w:val="en-US" w:eastAsia="zh-CN"/>
        </w:rPr>
        <w:t>8</w:t>
      </w:r>
      <w:r>
        <w:rPr>
          <w:rFonts w:hint="eastAsia" w:ascii="宋体" w:hAnsi="宋体" w:cs="宋体"/>
          <w:sz w:val="44"/>
          <w:szCs w:val="44"/>
        </w:rPr>
        <w:t>年度长春市二道区房屋征收工作管理办公室部门预算</w:t>
      </w: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widowControl/>
        <w:spacing w:line="560" w:lineRule="exact"/>
        <w:ind w:firstLine="640"/>
        <w:rPr>
          <w:rFonts w:hint="eastAsia" w:ascii="宋体" w:hAnsi="宋体" w:cs="宋体"/>
          <w:kern w:val="0"/>
          <w:sz w:val="32"/>
          <w:szCs w:val="32"/>
        </w:rPr>
      </w:pPr>
      <w:r>
        <w:rPr>
          <w:rFonts w:hint="eastAsia" w:ascii="宋体" w:hAnsi="宋体" w:cs="宋体"/>
          <w:kern w:val="0"/>
          <w:sz w:val="32"/>
          <w:szCs w:val="32"/>
        </w:rPr>
        <w:t>贯彻执行国家和省、市土地与房屋征收有关法律法规和政策，编制本行政区域内年度房屋征收工作计划；按照房屋征收程序，确定房屋征收范围、发布公告、进行土地与房屋征收调查、拟定征收补偿方案、进行风险评估；按照规定程序和要求，实施辖区内相关房屋等附着物的征收补偿工作；负责组织协调（抽取）选定征收评估机构；负责补偿安置资金的管理工作；负责征收与补偿安置数据信息统计和档案管理工作；负责征收实施机构及人员的监督管理工作；负责向被征收人宣传和解释房屋征收法律法规及相关政策，负责房屋征收过程中的信访调解工作；承办房屋征收行政复议和行政诉讼工作；负责报请区政府向人民法院申请强制执行搬迁工作；完成区委、区政府交办的其他事项。</w:t>
      </w:r>
    </w:p>
    <w:p>
      <w:pPr>
        <w:widowControl/>
        <w:spacing w:line="560" w:lineRule="exact"/>
        <w:ind w:firstLine="640"/>
        <w:rPr>
          <w:rFonts w:hint="eastAsia" w:ascii="宋体" w:hAnsi="宋体" w:cs="宋体"/>
          <w:kern w:val="0"/>
          <w:sz w:val="32"/>
          <w:szCs w:val="32"/>
        </w:rPr>
      </w:pPr>
    </w:p>
    <w:p>
      <w:pPr>
        <w:widowControl/>
        <w:spacing w:line="560" w:lineRule="exact"/>
        <w:ind w:firstLine="640"/>
        <w:rPr>
          <w:rFonts w:hint="eastAsia" w:ascii="宋体" w:hAnsi="宋体" w:cs="宋体"/>
          <w:kern w:val="0"/>
          <w:sz w:val="32"/>
          <w:szCs w:val="32"/>
        </w:rPr>
      </w:pPr>
    </w:p>
    <w:p>
      <w:pPr>
        <w:widowControl/>
        <w:spacing w:line="560" w:lineRule="exact"/>
        <w:ind w:firstLine="640"/>
        <w:rPr>
          <w:rFonts w:hint="eastAsia" w:ascii="宋体" w:hAnsi="宋体" w:cs="宋体"/>
          <w:kern w:val="0"/>
          <w:sz w:val="32"/>
          <w:szCs w:val="32"/>
        </w:rPr>
      </w:pPr>
    </w:p>
    <w:p>
      <w:pPr>
        <w:widowControl/>
        <w:spacing w:line="560" w:lineRule="exact"/>
        <w:ind w:firstLine="640"/>
        <w:rPr>
          <w:rFonts w:hint="eastAsia" w:ascii="宋体" w:hAnsi="宋体" w:cs="宋体"/>
          <w:kern w:val="0"/>
          <w:sz w:val="32"/>
          <w:szCs w:val="32"/>
        </w:rPr>
      </w:pPr>
    </w:p>
    <w:p>
      <w:pPr>
        <w:widowControl/>
        <w:numPr>
          <w:ilvl w:val="0"/>
          <w:numId w:val="1"/>
        </w:numPr>
        <w:spacing w:before="100" w:beforeAutospacing="1" w:after="100" w:afterAutospacing="1" w:line="360" w:lineRule="auto"/>
        <w:jc w:val="left"/>
        <w:rPr>
          <w:rFonts w:hint="eastAsia" w:ascii="宋体" w:hAnsi="宋体" w:cs="宋体"/>
          <w:b/>
          <w:bCs/>
          <w:color w:val="3E3E3E"/>
          <w:kern w:val="0"/>
          <w:sz w:val="32"/>
          <w:szCs w:val="32"/>
        </w:rPr>
      </w:pPr>
      <w:r>
        <w:rPr>
          <w:rFonts w:hint="eastAsia" w:ascii="宋体" w:hAnsi="宋体" w:cs="宋体"/>
          <w:b/>
          <w:bCs/>
          <w:color w:val="3E3E3E"/>
          <w:kern w:val="0"/>
          <w:sz w:val="32"/>
          <w:szCs w:val="32"/>
        </w:rPr>
        <w:t>内设机构</w:t>
      </w:r>
    </w:p>
    <w:p>
      <w:pPr>
        <w:widowControl/>
        <w:numPr>
          <w:ilvl w:val="0"/>
          <w:numId w:val="0"/>
        </w:numPr>
        <w:spacing w:before="100" w:beforeAutospacing="1" w:after="100" w:afterAutospacing="1" w:line="360" w:lineRule="auto"/>
        <w:ind w:firstLine="640" w:firstLineChars="200"/>
        <w:jc w:val="left"/>
        <w:rPr>
          <w:rFonts w:ascii="宋体" w:cs="宋体"/>
          <w:kern w:val="0"/>
          <w:sz w:val="32"/>
          <w:szCs w:val="32"/>
        </w:rPr>
      </w:pPr>
      <w:r>
        <w:rPr>
          <w:rFonts w:hint="eastAsia" w:ascii="宋体" w:hAnsi="宋体" w:cs="宋体"/>
          <w:kern w:val="0"/>
          <w:sz w:val="32"/>
          <w:szCs w:val="32"/>
        </w:rPr>
        <w:t>区房屋征收工作管理办公室机关行政编制</w:t>
      </w:r>
      <w:r>
        <w:rPr>
          <w:rFonts w:ascii="宋体" w:hAnsi="宋体" w:cs="宋体"/>
          <w:kern w:val="0"/>
          <w:sz w:val="32"/>
          <w:szCs w:val="32"/>
        </w:rPr>
        <w:t>10</w:t>
      </w:r>
      <w:r>
        <w:rPr>
          <w:rFonts w:hint="eastAsia" w:ascii="宋体" w:hAnsi="宋体" w:cs="宋体"/>
          <w:kern w:val="0"/>
          <w:sz w:val="32"/>
          <w:szCs w:val="32"/>
        </w:rPr>
        <w:t>名，内设综合科、计划科、法规科、回迁科</w:t>
      </w:r>
      <w:r>
        <w:rPr>
          <w:rFonts w:ascii="宋体" w:hAnsi="宋体" w:cs="宋体"/>
          <w:kern w:val="0"/>
          <w:sz w:val="32"/>
          <w:szCs w:val="32"/>
        </w:rPr>
        <w:t>4</w:t>
      </w:r>
      <w:r>
        <w:rPr>
          <w:rFonts w:hint="eastAsia" w:ascii="宋体" w:hAnsi="宋体" w:cs="宋体"/>
          <w:kern w:val="0"/>
          <w:sz w:val="32"/>
          <w:szCs w:val="32"/>
        </w:rPr>
        <w:t>个科室，下设区房屋征收经办中心全额拨款事业单位，事业编制</w:t>
      </w:r>
      <w:r>
        <w:rPr>
          <w:rFonts w:ascii="宋体" w:hAnsi="宋体" w:cs="宋体"/>
          <w:kern w:val="0"/>
          <w:sz w:val="32"/>
          <w:szCs w:val="32"/>
        </w:rPr>
        <w:t>20</w:t>
      </w:r>
      <w:r>
        <w:rPr>
          <w:rFonts w:hint="eastAsia" w:ascii="宋体" w:hAnsi="宋体" w:cs="宋体"/>
          <w:kern w:val="0"/>
          <w:sz w:val="32"/>
          <w:szCs w:val="32"/>
        </w:rPr>
        <w:t>名。</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长春市二道区房屋征收工作管理办公室本级和所属事业单位，共计</w:t>
      </w:r>
      <w:r>
        <w:rPr>
          <w:rFonts w:ascii="宋体" w:hAnsi="宋体" w:cs="宋体"/>
          <w:color w:val="3E3E3E"/>
          <w:kern w:val="0"/>
          <w:sz w:val="32"/>
          <w:szCs w:val="32"/>
        </w:rPr>
        <w:t>2</w:t>
      </w:r>
      <w:r>
        <w:rPr>
          <w:rFonts w:hint="eastAsia" w:ascii="宋体" w:hAnsi="宋体" w:cs="宋体"/>
          <w:color w:val="3E3E3E"/>
          <w:kern w:val="0"/>
          <w:sz w:val="32"/>
          <w:szCs w:val="32"/>
        </w:rPr>
        <w:t>个预算单位。</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1</w:t>
      </w:r>
      <w:r>
        <w:rPr>
          <w:rFonts w:hint="eastAsia" w:ascii="宋体" w:hAnsi="宋体" w:cs="宋体"/>
          <w:color w:val="3E3E3E"/>
          <w:kern w:val="0"/>
          <w:sz w:val="32"/>
          <w:szCs w:val="32"/>
        </w:rPr>
        <w:t>长春市二道区房屋征收工作管理办公室</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w:t>
      </w:r>
      <w:r>
        <w:rPr>
          <w:rFonts w:hint="eastAsia" w:ascii="宋体" w:hAnsi="宋体" w:cs="宋体"/>
          <w:color w:val="3E3E3E"/>
          <w:kern w:val="0"/>
          <w:sz w:val="32"/>
          <w:szCs w:val="32"/>
        </w:rPr>
        <w:t>长春市二道区房屋征收经办中心</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ascii="宋体" w:hAnsi="宋体" w:cs="宋体"/>
          <w:b/>
          <w:bCs/>
          <w:color w:val="3E3E3E"/>
          <w:kern w:val="0"/>
          <w:sz w:val="32"/>
          <w:szCs w:val="32"/>
        </w:rPr>
        <w:t>(</w:t>
      </w:r>
      <w:r>
        <w:rPr>
          <w:rFonts w:hint="eastAsia" w:ascii="宋体" w:hAnsi="宋体" w:cs="宋体"/>
          <w:b/>
          <w:bCs/>
          <w:color w:val="3E3E3E"/>
          <w:kern w:val="0"/>
          <w:sz w:val="32"/>
          <w:szCs w:val="32"/>
        </w:rPr>
        <w:t>二</w:t>
      </w:r>
      <w:r>
        <w:rPr>
          <w:rFonts w:ascii="宋体" w:hAnsi="宋体" w:cs="宋体"/>
          <w:b/>
          <w:bCs/>
          <w:color w:val="3E3E3E"/>
          <w:kern w:val="0"/>
          <w:sz w:val="32"/>
          <w:szCs w:val="32"/>
        </w:rPr>
        <w:t>)</w:t>
      </w:r>
      <w:r>
        <w:rPr>
          <w:rFonts w:hint="eastAsia" w:ascii="宋体" w:hAnsi="宋体" w:cs="宋体"/>
          <w:b/>
          <w:bCs/>
          <w:color w:val="3E3E3E"/>
          <w:kern w:val="0"/>
          <w:sz w:val="32"/>
          <w:szCs w:val="32"/>
        </w:rPr>
        <w:t>预算单位人员构成情况</w:t>
      </w:r>
    </w:p>
    <w:p>
      <w:pPr>
        <w:widowControl/>
        <w:spacing w:before="100" w:beforeAutospacing="1" w:after="100" w:afterAutospacing="1" w:line="360" w:lineRule="auto"/>
        <w:ind w:firstLine="640"/>
        <w:jc w:val="left"/>
        <w:rPr>
          <w:rFonts w:hint="eastAsia" w:ascii="宋体" w:hAnsi="宋体" w:cs="宋体"/>
          <w:color w:val="3E3E3E"/>
          <w:kern w:val="0"/>
          <w:sz w:val="32"/>
          <w:szCs w:val="32"/>
          <w:lang w:val="en-US" w:eastAsia="zh-CN"/>
        </w:rPr>
      </w:pPr>
      <w:r>
        <w:rPr>
          <w:rFonts w:hint="eastAsia" w:ascii="宋体" w:hAnsi="宋体" w:cs="宋体"/>
          <w:color w:val="3E3E3E"/>
          <w:kern w:val="0"/>
          <w:sz w:val="32"/>
          <w:szCs w:val="32"/>
        </w:rPr>
        <w:t>长春市二道区房屋征收工作管理办公室本级和所属事业单位现有在编人员</w:t>
      </w:r>
      <w:r>
        <w:rPr>
          <w:rFonts w:ascii="宋体" w:hAnsi="宋体" w:cs="宋体"/>
          <w:color w:val="3E3E3E"/>
          <w:kern w:val="0"/>
          <w:sz w:val="32"/>
          <w:szCs w:val="32"/>
        </w:rPr>
        <w:t>29</w:t>
      </w:r>
      <w:r>
        <w:rPr>
          <w:rFonts w:hint="eastAsia" w:ascii="宋体" w:hAnsi="宋体" w:cs="宋体"/>
          <w:color w:val="3E3E3E"/>
          <w:kern w:val="0"/>
          <w:sz w:val="32"/>
          <w:szCs w:val="32"/>
        </w:rPr>
        <w:t>人，其中，在职人员</w:t>
      </w:r>
      <w:r>
        <w:rPr>
          <w:rFonts w:ascii="宋体" w:hAnsi="宋体" w:cs="宋体"/>
          <w:color w:val="3E3E3E"/>
          <w:kern w:val="0"/>
          <w:sz w:val="32"/>
          <w:szCs w:val="32"/>
        </w:rPr>
        <w:t>29</w:t>
      </w:r>
      <w:r>
        <w:rPr>
          <w:rFonts w:hint="eastAsia" w:ascii="宋体" w:hAnsi="宋体" w:cs="宋体"/>
          <w:color w:val="3E3E3E"/>
          <w:kern w:val="0"/>
          <w:sz w:val="32"/>
          <w:szCs w:val="32"/>
        </w:rPr>
        <w:t>人。长期聘用人员</w:t>
      </w:r>
      <w:r>
        <w:rPr>
          <w:rFonts w:ascii="宋体" w:hAnsi="宋体" w:cs="宋体"/>
          <w:color w:val="3E3E3E"/>
          <w:kern w:val="0"/>
          <w:sz w:val="32"/>
          <w:szCs w:val="32"/>
        </w:rPr>
        <w:t>74</w:t>
      </w:r>
      <w:r>
        <w:rPr>
          <w:rFonts w:hint="eastAsia" w:ascii="宋体" w:hAnsi="宋体" w:cs="宋体"/>
          <w:color w:val="3E3E3E"/>
          <w:kern w:val="0"/>
          <w:sz w:val="32"/>
          <w:szCs w:val="32"/>
        </w:rPr>
        <w:t>人</w:t>
      </w:r>
      <w:r>
        <w:rPr>
          <w:rFonts w:hint="eastAsia" w:ascii="宋体" w:hAnsi="宋体" w:cs="宋体"/>
          <w:color w:val="3E3E3E"/>
          <w:kern w:val="0"/>
          <w:sz w:val="32"/>
          <w:szCs w:val="32"/>
          <w:lang w:eastAsia="zh-CN"/>
        </w:rPr>
        <w:t>，劳务派遣人员</w:t>
      </w:r>
      <w:r>
        <w:rPr>
          <w:rFonts w:hint="eastAsia" w:ascii="宋体" w:hAnsi="宋体" w:cs="宋体"/>
          <w:color w:val="3E3E3E"/>
          <w:kern w:val="0"/>
          <w:sz w:val="32"/>
          <w:szCs w:val="32"/>
          <w:lang w:val="en-US" w:eastAsia="zh-CN"/>
        </w:rPr>
        <w:t>50人。</w:t>
      </w:r>
    </w:p>
    <w:p>
      <w:pPr>
        <w:widowControl/>
        <w:spacing w:before="100" w:beforeAutospacing="1" w:after="100" w:afterAutospacing="1" w:line="360" w:lineRule="auto"/>
        <w:jc w:val="left"/>
        <w:rPr>
          <w:rFonts w:hint="eastAsia" w:ascii="黑体" w:hAnsi="黑体" w:eastAsia="黑体" w:cs="黑体"/>
          <w:sz w:val="32"/>
          <w:szCs w:val="32"/>
          <w:lang w:eastAsia="zh-CN"/>
        </w:rPr>
      </w:pPr>
    </w:p>
    <w:p>
      <w:pPr>
        <w:widowControl/>
        <w:spacing w:before="100" w:beforeAutospacing="1" w:after="100" w:afterAutospacing="1" w:line="360" w:lineRule="auto"/>
        <w:jc w:val="left"/>
        <w:rPr>
          <w:rFonts w:hint="eastAsia" w:ascii="黑体" w:hAnsi="黑体" w:eastAsia="黑体" w:cs="黑体"/>
          <w:sz w:val="32"/>
          <w:szCs w:val="32"/>
          <w:lang w:eastAsia="zh-CN"/>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lang w:eastAsia="zh-CN"/>
        </w:rPr>
        <w:t>第二部分</w:t>
      </w:r>
      <w:r>
        <w:rPr>
          <w:rFonts w:ascii="黑体" w:hAnsi="黑体" w:eastAsia="黑体" w:cs="黑体"/>
          <w:sz w:val="32"/>
          <w:szCs w:val="32"/>
        </w:rPr>
        <w:t>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附件：</w:t>
      </w:r>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年财政拨款收支预算表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eastAsia="宋体" w:cs="Times New Roman"/>
          <w:lang w:eastAsia="zh-CN"/>
        </w:rPr>
      </w:pPr>
      <w:r>
        <w:rPr>
          <w:rFonts w:hint="eastAsia" w:eastAsia="宋体" w:cs="Times New Roman"/>
          <w:lang w:eastAsia="zh-CN"/>
        </w:rPr>
        <w:pict>
          <v:shape id="_x0000_i1033" o:spt="75" alt="5IS0%TF]_B6]F[SSASD1{(5" type="#_x0000_t75" style="height:228.3pt;width:415.15pt;" filled="f" o:preferrelative="t" stroked="f" coordsize="21600,21600">
            <v:path/>
            <v:fill on="f" focussize="0,0"/>
            <v:stroke on="f"/>
            <v:imagedata r:id="rId4" o:title="5IS0%TF]_B6]F[SSASD1{(5"/>
            <o:lock v:ext="edit" aspectratio="t"/>
            <w10:wrap type="none"/>
            <w10:anchorlock/>
          </v:shape>
        </w:pict>
      </w:r>
      <w:bookmarkStart w:id="0" w:name="_GoBack"/>
      <w:bookmarkEnd w:id="0"/>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年一般公共预算支出预算表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26" o:spt="75" alt="KPO6{CJJ53915MJ1@$$]R@W" type="#_x0000_t75" style="height:218.2pt;width:415.3pt;" filled="f" o:preferrelative="t" stroked="f" coordsize="21600,21600">
            <v:path/>
            <v:fill on="f" focussize="0,0"/>
            <v:stroke on="f"/>
            <v:imagedata r:id="rId5" o:title="KPO6{CJJ53915MJ1@$$]R@W"/>
            <o:lock v:ext="edit" aspectratio="t"/>
            <w10:wrap type="none"/>
            <w10:anchorlock/>
          </v:shape>
        </w:pict>
      </w:r>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27" o:spt="75" alt="表3" type="#_x0000_t75" style="height:330.2pt;width:414.85pt;" filled="f" o:preferrelative="t" stroked="f" coordsize="21600,21600">
            <v:path/>
            <v:fill on="f" focussize="0,0"/>
            <v:stroke on="f"/>
            <v:imagedata r:id="rId6" o:title="表3"/>
            <o:lock v:ext="edit" aspectratio="t"/>
            <w10:wrap type="none"/>
            <w10:anchorlock/>
          </v:shape>
        </w:pict>
      </w:r>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28" o:spt="75" alt="2PWQN%JJ`Y3MY)B0D]3~]U7" type="#_x0000_t75" style="height:270.45pt;width:415.1pt;" filled="f" o:preferrelative="t" stroked="f" coordsize="21600,21600">
            <v:path/>
            <v:fill on="f" focussize="0,0"/>
            <v:stroke on="f"/>
            <v:imagedata r:id="rId7" o:title="2PWQN%JJ`Y3MY)B0D]3~]U7"/>
            <o:lock v:ext="edit" aspectratio="t"/>
            <w10:wrap type="none"/>
            <w10:anchorlock/>
          </v:shape>
        </w:pict>
      </w:r>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29" o:spt="75" alt="JNQT`X4XM6~3[@L~}D}1V73" type="#_x0000_t75" style="height:115.6pt;width:415.15pt;" filled="f" o:preferrelative="t" stroked="f" coordsize="21600,21600">
            <v:path/>
            <v:fill on="f" focussize="0,0"/>
            <v:stroke on="f"/>
            <v:imagedata r:id="rId8" o:title="JNQT`X4XM6~3[@L~}D}1V73"/>
            <o:lock v:ext="edit" aspectratio="t"/>
            <w10:wrap type="none"/>
            <w10:anchorlock/>
          </v:shape>
        </w:pict>
      </w: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eastAsia="宋体" w:cs="宋体"/>
          <w:color w:val="3E3E3E"/>
          <w:kern w:val="0"/>
          <w:sz w:val="32"/>
          <w:szCs w:val="32"/>
          <w:lang w:eastAsia="zh-CN"/>
        </w:rPr>
      </w:pPr>
      <w:r>
        <w:rPr>
          <w:rFonts w:hint="eastAsia" w:ascii="宋体" w:hAnsi="宋体" w:eastAsia="宋体" w:cs="宋体"/>
          <w:color w:val="3E3E3E"/>
          <w:kern w:val="0"/>
          <w:sz w:val="32"/>
          <w:szCs w:val="32"/>
          <w:lang w:eastAsia="zh-CN"/>
        </w:rPr>
        <w:pict>
          <v:shape id="_x0000_i1030" o:spt="75" alt="表6" type="#_x0000_t75" style="height:263.4pt;width:415.1pt;" filled="f" o:preferrelative="t" stroked="f" coordsize="21600,21600">
            <v:path/>
            <v:fill on="f" focussize="0,0"/>
            <v:stroke on="f"/>
            <v:imagedata r:id="rId9" o:title="表6"/>
            <o:lock v:ext="edit" aspectratio="t"/>
            <w10:wrap type="none"/>
            <w10:anchorlock/>
          </v:shape>
        </w:pict>
      </w:r>
    </w:p>
    <w:p>
      <w:pPr>
        <w:widowControl/>
        <w:spacing w:before="100" w:beforeAutospacing="1" w:after="100" w:afterAutospacing="1" w:line="360" w:lineRule="auto"/>
        <w:jc w:val="left"/>
        <w:rPr>
          <w:rFonts w:cs="Times New Roman"/>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31" o:spt="75" alt="F~8USTD2U6FW}BBZB58XVIK" type="#_x0000_t75" style="height:101.6pt;width:414.85pt;" filled="f" o:preferrelative="t" stroked="f" coordsize="21600,21600">
            <v:path/>
            <v:fill on="f" focussize="0,0"/>
            <v:stroke on="f"/>
            <v:imagedata r:id="rId10" o:title="F~8USTD2U6FW}BBZB58XVIK"/>
            <o:lock v:ext="edit" aspectratio="t"/>
            <w10:wrap type="none"/>
            <w10:anchorlock/>
          </v:shape>
        </w:pict>
      </w:r>
    </w:p>
    <w:p>
      <w:pPr>
        <w:spacing w:line="360" w:lineRule="auto"/>
        <w:jc w:val="left"/>
        <w:rPr>
          <w:rFonts w:cs="Times New Roman"/>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spacing w:line="360" w:lineRule="auto"/>
        <w:jc w:val="left"/>
        <w:rPr>
          <w:rFonts w:hint="eastAsia" w:ascii="宋体" w:eastAsia="宋体" w:cs="Times New Roman"/>
          <w:color w:val="3E3E3E"/>
          <w:kern w:val="0"/>
          <w:sz w:val="32"/>
          <w:szCs w:val="32"/>
          <w:lang w:eastAsia="zh-CN"/>
        </w:rPr>
      </w:pPr>
      <w:r>
        <w:rPr>
          <w:rFonts w:hint="eastAsia" w:ascii="宋体" w:eastAsia="宋体" w:cs="Times New Roman"/>
          <w:color w:val="3E3E3E"/>
          <w:kern w:val="0"/>
          <w:sz w:val="32"/>
          <w:szCs w:val="32"/>
          <w:lang w:eastAsia="zh-CN"/>
        </w:rPr>
        <w:pict>
          <v:shape id="_x0000_i1032" o:spt="75" alt="ZQMGS}%%QS1P@W68L$PTBK4" type="#_x0000_t75" style="height:160.85pt;width:414.9pt;" filled="f" o:preferrelative="t" stroked="f" coordsize="21600,21600">
            <v:path/>
            <v:fill on="f" focussize="0,0"/>
            <v:stroke on="f"/>
            <v:imagedata r:id="rId11" o:title="ZQMGS}%%QS1P@W68L$PTBK4"/>
            <o:lock v:ext="edit" aspectratio="t"/>
            <w10:wrap type="none"/>
            <w10:anchorlock/>
          </v:shape>
        </w:pict>
      </w:r>
    </w:p>
    <w:p>
      <w:pPr>
        <w:autoSpaceDE w:val="0"/>
        <w:autoSpaceDN w:val="0"/>
        <w:adjustRightInd w:val="0"/>
        <w:rPr>
          <w:rFonts w:hint="eastAsia" w:ascii="宋体" w:hAnsi="宋体" w:cs="宋体"/>
          <w:b/>
          <w:bCs/>
          <w:color w:val="3E3E3E"/>
          <w:kern w:val="0"/>
          <w:sz w:val="32"/>
          <w:szCs w:val="32"/>
        </w:rPr>
      </w:pPr>
    </w:p>
    <w:p>
      <w:pPr>
        <w:autoSpaceDE w:val="0"/>
        <w:autoSpaceDN w:val="0"/>
        <w:adjustRightInd w:val="0"/>
        <w:rPr>
          <w:rFonts w:hint="eastAsia" w:ascii="宋体" w:hAnsi="宋体" w:cs="宋体"/>
          <w:color w:val="3E3E3E"/>
          <w:kern w:val="0"/>
          <w:sz w:val="32"/>
          <w:szCs w:val="32"/>
        </w:rPr>
      </w:pPr>
      <w:r>
        <w:rPr>
          <w:rFonts w:hint="eastAsia" w:ascii="宋体" w:hAnsi="宋体" w:cs="宋体"/>
          <w:b/>
          <w:bCs/>
          <w:color w:val="3E3E3E"/>
          <w:kern w:val="0"/>
          <w:sz w:val="32"/>
          <w:szCs w:val="32"/>
        </w:rPr>
        <w:t>第三部分  201</w:t>
      </w:r>
      <w:r>
        <w:rPr>
          <w:rFonts w:hint="eastAsia" w:ascii="宋体" w:hAnsi="宋体" w:cs="宋体"/>
          <w:b/>
          <w:bCs/>
          <w:color w:val="3E3E3E"/>
          <w:kern w:val="0"/>
          <w:sz w:val="32"/>
          <w:szCs w:val="32"/>
          <w:lang w:val="en-US" w:eastAsia="zh-CN"/>
        </w:rPr>
        <w:t>8</w:t>
      </w:r>
      <w:r>
        <w:rPr>
          <w:rFonts w:hint="eastAsia" w:ascii="宋体" w:hAnsi="宋体" w:cs="宋体"/>
          <w:b/>
          <w:bCs/>
          <w:color w:val="3E3E3E"/>
          <w:kern w:val="0"/>
          <w:sz w:val="32"/>
          <w:szCs w:val="32"/>
        </w:rPr>
        <w:t>年度部门预算情况说明</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一、201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年财政拨款收支说明</w:t>
      </w:r>
    </w:p>
    <w:p>
      <w:pPr>
        <w:autoSpaceDE w:val="0"/>
        <w:autoSpaceDN w:val="0"/>
        <w:adjustRightInd w:val="0"/>
        <w:ind w:firstLine="640" w:firstLineChars="200"/>
        <w:rPr>
          <w:rFonts w:hint="eastAsia" w:ascii="宋体" w:hAnsi="宋体" w:cs="宋体"/>
          <w:color w:val="3E3E3E"/>
          <w:kern w:val="0"/>
          <w:sz w:val="32"/>
          <w:szCs w:val="32"/>
          <w:lang w:eastAsia="zh-CN"/>
        </w:rPr>
      </w:pPr>
      <w:r>
        <w:rPr>
          <w:rFonts w:hint="eastAsia"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年财政拨款1865.37万元,收入合计1865.37万元</w:t>
      </w:r>
      <w:r>
        <w:rPr>
          <w:rFonts w:hint="eastAsia" w:ascii="宋体" w:hAnsi="宋体" w:cs="宋体"/>
          <w:color w:val="3E3E3E"/>
          <w:kern w:val="0"/>
          <w:sz w:val="32"/>
          <w:szCs w:val="32"/>
          <w:lang w:eastAsia="zh-CN"/>
        </w:rPr>
        <w:t>。</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年财政预算支出1865.37万元，其中，基本支出1472.57万元，项目支出392.8万元。</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二、一般公共预算支出表说明</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城乡社区环境卫生支出1865.37万元。</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三、一般公共预算基本支出情况说明</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1.工资福利支出1441.65万元</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2.商品和服务支出30.36万元</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lang w:val="en-US" w:eastAsia="zh-CN"/>
        </w:rPr>
        <w:t>3.对个人和家庭的补助0.16</w:t>
      </w:r>
      <w:r>
        <w:rPr>
          <w:rFonts w:hint="eastAsia" w:ascii="宋体" w:hAnsi="宋体" w:cs="宋体"/>
          <w:color w:val="3E3E3E"/>
          <w:kern w:val="0"/>
          <w:sz w:val="32"/>
          <w:szCs w:val="32"/>
        </w:rPr>
        <w:t>万元</w:t>
      </w:r>
    </w:p>
    <w:p>
      <w:pPr>
        <w:autoSpaceDE w:val="0"/>
        <w:autoSpaceDN w:val="0"/>
        <w:adjustRightInd w:val="0"/>
        <w:ind w:firstLine="640" w:firstLineChars="200"/>
        <w:rPr>
          <w:rFonts w:hint="eastAsia" w:ascii="宋体" w:hAnsi="宋体" w:cs="宋体"/>
          <w:color w:val="3E3E3E"/>
          <w:kern w:val="0"/>
          <w:sz w:val="32"/>
          <w:szCs w:val="32"/>
          <w:lang w:val="en-US" w:eastAsia="zh-CN"/>
        </w:rPr>
      </w:pPr>
      <w:r>
        <w:rPr>
          <w:rFonts w:hint="eastAsia" w:ascii="宋体" w:hAnsi="宋体" w:cs="宋体"/>
          <w:color w:val="3E3E3E"/>
          <w:kern w:val="0"/>
          <w:sz w:val="32"/>
          <w:szCs w:val="32"/>
          <w:lang w:val="en-US" w:eastAsia="zh-CN"/>
        </w:rPr>
        <w:t>4.资本性支出0.4万元</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共计基本支出1472.57万元。</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四、201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年“三公”经费预算情况说明</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lang w:eastAsia="zh-CN"/>
        </w:rPr>
        <w:t>无</w:t>
      </w:r>
      <w:r>
        <w:rPr>
          <w:rFonts w:hint="eastAsia"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年“三公”经费预算。</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五、政府性基金预算说明</w:t>
      </w:r>
    </w:p>
    <w:p>
      <w:pPr>
        <w:autoSpaceDE w:val="0"/>
        <w:autoSpaceDN w:val="0"/>
        <w:adjustRightInd w:val="0"/>
        <w:ind w:firstLine="660"/>
        <w:rPr>
          <w:rFonts w:ascii="宋体" w:cs="Times New Roman"/>
          <w:color w:val="3E3E3E"/>
          <w:kern w:val="0"/>
          <w:sz w:val="32"/>
          <w:szCs w:val="32"/>
        </w:rPr>
      </w:pPr>
      <w:r>
        <w:rPr>
          <w:rFonts w:hint="eastAsia" w:ascii="宋体" w:hAnsi="宋体" w:cs="宋体"/>
          <w:color w:val="3E3E3E"/>
          <w:kern w:val="0"/>
          <w:sz w:val="32"/>
          <w:szCs w:val="32"/>
        </w:rPr>
        <w:t>无政府性基金预算。</w:t>
      </w:r>
    </w:p>
    <w:p>
      <w:pPr>
        <w:autoSpaceDE w:val="0"/>
        <w:autoSpaceDN w:val="0"/>
        <w:adjustRightInd w:val="0"/>
        <w:rPr>
          <w:rFonts w:ascii="宋体" w:cs="Times New Roman"/>
          <w:color w:val="3E3E3E"/>
          <w:kern w:val="0"/>
          <w:sz w:val="32"/>
          <w:szCs w:val="32"/>
        </w:rPr>
      </w:pPr>
      <w:r>
        <w:rPr>
          <w:rFonts w:hint="eastAsia" w:ascii="宋体" w:hAnsi="宋体" w:cs="宋体"/>
          <w:color w:val="3E3E3E"/>
          <w:kern w:val="0"/>
          <w:sz w:val="32"/>
          <w:szCs w:val="32"/>
        </w:rPr>
        <w:t>六、部门收支表说明</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征收办系统</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总收入1865.37万元，其中财政拨款1865.37万元。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城乡社区支出1865.37万元。</w:t>
      </w:r>
    </w:p>
    <w:p>
      <w:pPr>
        <w:autoSpaceDE w:val="0"/>
        <w:autoSpaceDN w:val="0"/>
        <w:adjustRightInd w:val="0"/>
        <w:rPr>
          <w:rFonts w:ascii="宋体" w:cs="Times New Roman"/>
          <w:color w:val="3E3E3E"/>
          <w:kern w:val="0"/>
          <w:sz w:val="32"/>
          <w:szCs w:val="32"/>
        </w:rPr>
      </w:pPr>
      <w:r>
        <w:rPr>
          <w:rFonts w:hint="eastAsia" w:ascii="宋体" w:hAnsi="宋体" w:cs="宋体"/>
          <w:color w:val="3E3E3E"/>
          <w:kern w:val="0"/>
          <w:sz w:val="32"/>
          <w:szCs w:val="32"/>
        </w:rPr>
        <w:t>七、部门收入总表情况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征收办系统</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总收入1865.37万元，其中财政拨款1865.37万元。</w:t>
      </w:r>
    </w:p>
    <w:p>
      <w:pPr>
        <w:autoSpaceDE w:val="0"/>
        <w:autoSpaceDN w:val="0"/>
        <w:adjustRightInd w:val="0"/>
        <w:rPr>
          <w:rFonts w:ascii="宋体" w:cs="Times New Roman"/>
          <w:color w:val="3E3E3E"/>
          <w:kern w:val="0"/>
          <w:sz w:val="32"/>
          <w:szCs w:val="32"/>
        </w:rPr>
      </w:pPr>
      <w:r>
        <w:rPr>
          <w:rFonts w:hint="eastAsia" w:ascii="宋体" w:hAnsi="宋体" w:cs="宋体"/>
          <w:color w:val="3E3E3E"/>
          <w:kern w:val="0"/>
          <w:sz w:val="32"/>
          <w:szCs w:val="32"/>
        </w:rPr>
        <w:t>八、部门支出总表情况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按功能分类：城乡社区环境卫生支出1865.37万元。</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科目分类：基本支出1472.57万元，项目支出392.8万元。</w:t>
      </w:r>
    </w:p>
    <w:p>
      <w:pPr>
        <w:autoSpaceDE w:val="0"/>
        <w:autoSpaceDN w:val="0"/>
        <w:adjustRightInd w:val="0"/>
        <w:rPr>
          <w:rFonts w:hint="eastAsia" w:ascii="宋体" w:hAnsi="宋体" w:cs="宋体"/>
          <w:color w:val="3E3E3E"/>
          <w:kern w:val="0"/>
          <w:sz w:val="32"/>
          <w:szCs w:val="32"/>
        </w:rPr>
      </w:pPr>
      <w:r>
        <w:rPr>
          <w:rFonts w:hint="eastAsia" w:ascii="宋体" w:hAnsi="宋体" w:cs="宋体"/>
          <w:color w:val="3E3E3E"/>
          <w:kern w:val="0"/>
          <w:sz w:val="32"/>
          <w:szCs w:val="32"/>
        </w:rPr>
        <w:t>九、机关运行经费支出情况</w:t>
      </w:r>
    </w:p>
    <w:p>
      <w:pPr>
        <w:autoSpaceDE w:val="0"/>
        <w:autoSpaceDN w:val="0"/>
        <w:adjustRightInd w:val="0"/>
        <w:ind w:firstLine="640" w:firstLineChars="200"/>
        <w:rPr>
          <w:rFonts w:hint="eastAsia" w:ascii="宋体" w:hAnsi="宋体" w:cs="宋体"/>
          <w:color w:val="3E3E3E"/>
          <w:kern w:val="0"/>
          <w:sz w:val="32"/>
          <w:szCs w:val="32"/>
        </w:rPr>
      </w:pPr>
      <w:r>
        <w:rPr>
          <w:rFonts w:hint="eastAsia"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年长春市</w:t>
      </w:r>
      <w:r>
        <w:rPr>
          <w:rFonts w:hint="eastAsia" w:ascii="宋体" w:hAnsi="宋体" w:cs="宋体"/>
          <w:color w:val="3E3E3E"/>
          <w:kern w:val="0"/>
          <w:sz w:val="32"/>
          <w:szCs w:val="32"/>
          <w:lang w:eastAsia="zh-CN"/>
        </w:rPr>
        <w:t>二道区</w:t>
      </w:r>
      <w:r>
        <w:rPr>
          <w:rFonts w:hint="eastAsia" w:ascii="宋体" w:hAnsi="宋体" w:cs="宋体"/>
          <w:color w:val="3E3E3E"/>
          <w:kern w:val="0"/>
          <w:sz w:val="32"/>
          <w:szCs w:val="32"/>
        </w:rPr>
        <w:t>征收办系统的机关运行经费财政拨款支出30.36万元，其中办公费</w:t>
      </w:r>
      <w:r>
        <w:rPr>
          <w:rFonts w:hint="eastAsia" w:ascii="宋体" w:hAnsi="宋体" w:cs="宋体"/>
          <w:color w:val="3E3E3E"/>
          <w:kern w:val="0"/>
          <w:sz w:val="32"/>
          <w:szCs w:val="32"/>
          <w:lang w:val="en-US" w:eastAsia="zh-CN"/>
        </w:rPr>
        <w:t>8.59</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印刷费</w:t>
      </w:r>
      <w:r>
        <w:rPr>
          <w:rFonts w:hint="eastAsia" w:ascii="宋体" w:hAnsi="宋体" w:cs="宋体"/>
          <w:color w:val="3E3E3E"/>
          <w:kern w:val="0"/>
          <w:sz w:val="32"/>
          <w:szCs w:val="32"/>
          <w:lang w:val="en-US" w:eastAsia="zh-CN"/>
        </w:rPr>
        <w:t>2万元，水费0.5</w:t>
      </w:r>
      <w:r>
        <w:rPr>
          <w:rFonts w:hint="eastAsia" w:ascii="宋体" w:hAnsi="宋体" w:cs="宋体"/>
          <w:color w:val="3E3E3E"/>
          <w:kern w:val="0"/>
          <w:sz w:val="32"/>
          <w:szCs w:val="32"/>
        </w:rPr>
        <w:t>万元，</w:t>
      </w:r>
      <w:r>
        <w:rPr>
          <w:rFonts w:hint="eastAsia" w:ascii="宋体" w:hAnsi="宋体" w:cs="宋体"/>
          <w:color w:val="3E3E3E"/>
          <w:kern w:val="0"/>
          <w:sz w:val="32"/>
          <w:szCs w:val="32"/>
          <w:lang w:val="en-US" w:eastAsia="zh-CN"/>
        </w:rPr>
        <w:t>电费6.73</w:t>
      </w:r>
      <w:r>
        <w:rPr>
          <w:rFonts w:hint="eastAsia" w:ascii="宋体" w:hAnsi="宋体" w:cs="宋体"/>
          <w:color w:val="3E3E3E"/>
          <w:kern w:val="0"/>
          <w:sz w:val="32"/>
          <w:szCs w:val="32"/>
        </w:rPr>
        <w:t>万元，</w:t>
      </w:r>
      <w:r>
        <w:rPr>
          <w:rFonts w:hint="eastAsia" w:ascii="宋体" w:hAnsi="宋体" w:cs="宋体"/>
          <w:color w:val="3E3E3E"/>
          <w:kern w:val="0"/>
          <w:sz w:val="32"/>
          <w:szCs w:val="32"/>
          <w:lang w:val="en-US" w:eastAsia="zh-CN"/>
        </w:rPr>
        <w:t>邮电费2.43</w:t>
      </w:r>
      <w:r>
        <w:rPr>
          <w:rFonts w:hint="eastAsia" w:ascii="宋体" w:hAnsi="宋体" w:cs="宋体"/>
          <w:color w:val="3E3E3E"/>
          <w:kern w:val="0"/>
          <w:sz w:val="32"/>
          <w:szCs w:val="32"/>
        </w:rPr>
        <w:t>万元，</w:t>
      </w:r>
      <w:r>
        <w:rPr>
          <w:rFonts w:hint="eastAsia" w:ascii="宋体" w:hAnsi="宋体" w:cs="宋体"/>
          <w:color w:val="3E3E3E"/>
          <w:kern w:val="0"/>
          <w:sz w:val="32"/>
          <w:szCs w:val="32"/>
          <w:lang w:val="en-US" w:eastAsia="zh-CN"/>
        </w:rPr>
        <w:t>取暖费6</w:t>
      </w:r>
      <w:r>
        <w:rPr>
          <w:rFonts w:hint="eastAsia" w:ascii="宋体" w:hAnsi="宋体" w:cs="宋体"/>
          <w:color w:val="3E3E3E"/>
          <w:kern w:val="0"/>
          <w:sz w:val="32"/>
          <w:szCs w:val="32"/>
        </w:rPr>
        <w:t>万元，</w:t>
      </w:r>
      <w:r>
        <w:rPr>
          <w:rFonts w:hint="eastAsia" w:ascii="宋体" w:hAnsi="宋体" w:cs="宋体"/>
          <w:color w:val="3E3E3E"/>
          <w:kern w:val="0"/>
          <w:sz w:val="32"/>
          <w:szCs w:val="32"/>
          <w:lang w:val="en-US" w:eastAsia="zh-CN"/>
        </w:rPr>
        <w:t>物业管理费1.27</w:t>
      </w:r>
      <w:r>
        <w:rPr>
          <w:rFonts w:hint="eastAsia" w:ascii="宋体" w:hAnsi="宋体" w:cs="宋体"/>
          <w:color w:val="3E3E3E"/>
          <w:kern w:val="0"/>
          <w:sz w:val="32"/>
          <w:szCs w:val="32"/>
        </w:rPr>
        <w:t>万元，差旅费</w:t>
      </w:r>
      <w:r>
        <w:rPr>
          <w:rFonts w:hint="eastAsia" w:ascii="宋体" w:hAnsi="宋体" w:cs="宋体"/>
          <w:color w:val="3E3E3E"/>
          <w:kern w:val="0"/>
          <w:sz w:val="32"/>
          <w:szCs w:val="32"/>
          <w:lang w:val="en-US" w:eastAsia="zh-CN"/>
        </w:rPr>
        <w:t>0.8</w:t>
      </w:r>
      <w:r>
        <w:rPr>
          <w:rFonts w:hint="eastAsia" w:ascii="宋体" w:hAnsi="宋体" w:cs="宋体"/>
          <w:color w:val="3E3E3E"/>
          <w:kern w:val="0"/>
          <w:sz w:val="32"/>
          <w:szCs w:val="32"/>
        </w:rPr>
        <w:t>万元，维修费</w:t>
      </w:r>
      <w:r>
        <w:rPr>
          <w:rFonts w:hint="eastAsia" w:ascii="宋体" w:hAnsi="宋体" w:cs="宋体"/>
          <w:color w:val="3E3E3E"/>
          <w:kern w:val="0"/>
          <w:sz w:val="32"/>
          <w:szCs w:val="32"/>
          <w:lang w:val="en-US" w:eastAsia="zh-CN"/>
        </w:rPr>
        <w:t>0.84</w:t>
      </w:r>
      <w:r>
        <w:rPr>
          <w:rFonts w:hint="eastAsia" w:ascii="宋体" w:hAnsi="宋体" w:cs="宋体"/>
          <w:color w:val="3E3E3E"/>
          <w:kern w:val="0"/>
          <w:sz w:val="32"/>
          <w:szCs w:val="32"/>
        </w:rPr>
        <w:t>万元，培训费</w:t>
      </w:r>
      <w:r>
        <w:rPr>
          <w:rFonts w:hint="eastAsia" w:ascii="宋体" w:hAnsi="宋体" w:cs="宋体"/>
          <w:color w:val="3E3E3E"/>
          <w:kern w:val="0"/>
          <w:sz w:val="32"/>
          <w:szCs w:val="32"/>
          <w:lang w:val="en-US" w:eastAsia="zh-CN"/>
        </w:rPr>
        <w:t>1.2</w:t>
      </w:r>
      <w:r>
        <w:rPr>
          <w:rFonts w:hint="eastAsia" w:ascii="宋体" w:hAnsi="宋体" w:cs="宋体"/>
          <w:color w:val="3E3E3E"/>
          <w:kern w:val="0"/>
          <w:sz w:val="32"/>
          <w:szCs w:val="32"/>
        </w:rPr>
        <w:t>万元。</w:t>
      </w: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hint="eastAsia" w:ascii="宋体" w:hAnsi="宋体" w:cs="宋体"/>
          <w:b/>
          <w:bCs/>
          <w:kern w:val="0"/>
          <w:sz w:val="32"/>
          <w:szCs w:val="32"/>
        </w:rPr>
      </w:pPr>
    </w:p>
    <w:p>
      <w:pPr>
        <w:autoSpaceDE w:val="0"/>
        <w:autoSpaceDN w:val="0"/>
        <w:adjustRightInd w:val="0"/>
        <w:rPr>
          <w:rFonts w:ascii="宋体" w:hAnsi="宋体" w:cs="宋体"/>
          <w:kern w:val="0"/>
          <w:sz w:val="32"/>
          <w:szCs w:val="32"/>
        </w:rPr>
      </w:pPr>
      <w:r>
        <w:rPr>
          <w:rFonts w:hint="eastAsia" w:ascii="宋体" w:hAnsi="宋体" w:cs="宋体"/>
          <w:b/>
          <w:bCs/>
          <w:kern w:val="0"/>
          <w:sz w:val="32"/>
          <w:szCs w:val="32"/>
        </w:rPr>
        <w:t>第四部分名词解释</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一、财政拨款收入：指财政当年拨付的资金。</w:t>
      </w:r>
    </w:p>
    <w:p>
      <w:pPr>
        <w:autoSpaceDE w:val="0"/>
        <w:autoSpaceDN w:val="0"/>
        <w:adjustRightInd w:val="0"/>
        <w:ind w:firstLine="660"/>
        <w:rPr>
          <w:rFonts w:ascii="宋体" w:cs="Times New Roman"/>
          <w:kern w:val="0"/>
          <w:sz w:val="32"/>
          <w:szCs w:val="32"/>
        </w:rPr>
      </w:pPr>
      <w:r>
        <w:rPr>
          <w:rFonts w:hint="eastAsia" w:ascii="宋体" w:hAnsi="宋体" w:cs="宋体"/>
          <w:kern w:val="0"/>
          <w:sz w:val="32"/>
          <w:szCs w:val="32"/>
        </w:rPr>
        <w:t>二、基本支出：指为保障机构正常运转、完成日常工作任务而发生的人员支出和公用支出。</w:t>
      </w:r>
      <w:r>
        <w:rPr>
          <w:rFonts w:ascii="宋体" w:hAnsi="宋体" w:cs="宋体"/>
          <w:kern w:val="0"/>
          <w:sz w:val="32"/>
          <w:szCs w:val="32"/>
        </w:rPr>
        <w:t xml:space="preserve"> </w:t>
      </w:r>
    </w:p>
    <w:p>
      <w:pPr>
        <w:autoSpaceDE w:val="0"/>
        <w:autoSpaceDN w:val="0"/>
        <w:adjustRightInd w:val="0"/>
        <w:ind w:firstLine="660"/>
        <w:rPr>
          <w:rFonts w:ascii="宋体" w:cs="Times New Roman"/>
          <w:kern w:val="0"/>
          <w:sz w:val="32"/>
          <w:szCs w:val="32"/>
        </w:rPr>
      </w:pPr>
      <w:r>
        <w:rPr>
          <w:rFonts w:hint="eastAsia" w:ascii="宋体" w:hAnsi="宋体" w:cs="宋体"/>
          <w:kern w:val="0"/>
          <w:sz w:val="32"/>
          <w:szCs w:val="32"/>
        </w:rPr>
        <w:t>三、项目支出：指在基本支出之外为完成特定行政任务和事业发展目标所发生的支出。</w:t>
      </w:r>
      <w:r>
        <w:rPr>
          <w:rFonts w:ascii="宋体" w:hAnsi="宋体" w:cs="宋体"/>
          <w:kern w:val="0"/>
          <w:sz w:val="32"/>
          <w:szCs w:val="32"/>
        </w:rPr>
        <w:t xml:space="preserve">   </w:t>
      </w:r>
    </w:p>
    <w:p>
      <w:pPr>
        <w:autoSpaceDE w:val="0"/>
        <w:autoSpaceDN w:val="0"/>
        <w:adjustRightInd w:val="0"/>
        <w:ind w:firstLine="480" w:firstLineChars="150"/>
        <w:rPr>
          <w:rFonts w:ascii="宋体" w:cs="Times New Roman"/>
          <w:kern w:val="0"/>
          <w:sz w:val="32"/>
          <w:szCs w:val="32"/>
        </w:rPr>
      </w:pPr>
      <w:r>
        <w:rPr>
          <w:rFonts w:ascii="宋体" w:hAnsi="宋体" w:cs="宋体"/>
          <w:kern w:val="0"/>
          <w:sz w:val="32"/>
          <w:szCs w:val="32"/>
        </w:rPr>
        <w:t xml:space="preserve"> </w:t>
      </w:r>
      <w:r>
        <w:rPr>
          <w:rFonts w:hint="eastAsia" w:ascii="宋体" w:hAnsi="宋体" w:cs="宋体"/>
          <w:kern w:val="0"/>
          <w:sz w:val="32"/>
          <w:szCs w:val="32"/>
        </w:rPr>
        <w:t>四、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w:t>
      </w:r>
      <w:r>
        <w:rPr>
          <w:rFonts w:ascii="宋体" w:hAnsi="宋体" w:cs="宋体"/>
          <w:kern w:val="0"/>
          <w:sz w:val="32"/>
          <w:szCs w:val="32"/>
        </w:rPr>
        <w:t xml:space="preserve">  </w:t>
      </w:r>
      <w:r>
        <w:rPr>
          <w:rFonts w:hint="eastAsia" w:ascii="宋体" w:hAnsi="宋体" w:cs="宋体"/>
          <w:kern w:val="0"/>
          <w:sz w:val="32"/>
          <w:szCs w:val="32"/>
          <w:lang w:eastAsia="zh-CN"/>
        </w:rPr>
        <w:t>。</w:t>
      </w:r>
      <w:r>
        <w:rPr>
          <w:rFonts w:ascii="宋体" w:hAnsi="宋体" w:cs="宋体"/>
          <w:kern w:val="0"/>
          <w:sz w:val="32"/>
          <w:szCs w:val="32"/>
        </w:rPr>
        <w:t xml:space="preserve"> </w:t>
      </w:r>
    </w:p>
    <w:p>
      <w:pPr>
        <w:autoSpaceDE w:val="0"/>
        <w:autoSpaceDN w:val="0"/>
        <w:adjustRightInd w:val="0"/>
        <w:rPr>
          <w:rFonts w:ascii="宋体" w:cs="Times New Roman"/>
          <w:kern w:val="0"/>
          <w:sz w:val="32"/>
          <w:szCs w:val="32"/>
        </w:rPr>
      </w:pPr>
      <w:r>
        <w:rPr>
          <w:rFonts w:ascii="宋体" w:hAnsi="宋体" w:cs="宋体"/>
          <w:kern w:val="0"/>
          <w:sz w:val="32"/>
          <w:szCs w:val="32"/>
        </w:rPr>
        <w:t xml:space="preserve">   </w:t>
      </w:r>
    </w:p>
    <w:p>
      <w:pPr>
        <w:autoSpaceDE w:val="0"/>
        <w:autoSpaceDN w:val="0"/>
        <w:adjustRightInd w:val="0"/>
        <w:rPr>
          <w:rFonts w:ascii="宋体"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9A18D"/>
    <w:multiLevelType w:val="singleLevel"/>
    <w:tmpl w:val="8319A1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8A"/>
    <w:rsid w:val="0000169D"/>
    <w:rsid w:val="000150E7"/>
    <w:rsid w:val="00016F38"/>
    <w:rsid w:val="0001704A"/>
    <w:rsid w:val="0005657C"/>
    <w:rsid w:val="00075C6E"/>
    <w:rsid w:val="000A1373"/>
    <w:rsid w:val="000F087E"/>
    <w:rsid w:val="00102AEA"/>
    <w:rsid w:val="00112E35"/>
    <w:rsid w:val="001A03DE"/>
    <w:rsid w:val="001A067E"/>
    <w:rsid w:val="001C3DB7"/>
    <w:rsid w:val="001D764C"/>
    <w:rsid w:val="001E1757"/>
    <w:rsid w:val="001F4768"/>
    <w:rsid w:val="002A7FBA"/>
    <w:rsid w:val="002B22FD"/>
    <w:rsid w:val="00300EEC"/>
    <w:rsid w:val="0035248F"/>
    <w:rsid w:val="003A5C23"/>
    <w:rsid w:val="003A7ECF"/>
    <w:rsid w:val="00415BBF"/>
    <w:rsid w:val="00437D6A"/>
    <w:rsid w:val="004415A0"/>
    <w:rsid w:val="004B113F"/>
    <w:rsid w:val="004F0D4F"/>
    <w:rsid w:val="0050084A"/>
    <w:rsid w:val="00520680"/>
    <w:rsid w:val="005211A3"/>
    <w:rsid w:val="005238B0"/>
    <w:rsid w:val="0057123B"/>
    <w:rsid w:val="005759CD"/>
    <w:rsid w:val="005C178A"/>
    <w:rsid w:val="00614FF8"/>
    <w:rsid w:val="00616DD8"/>
    <w:rsid w:val="00626C72"/>
    <w:rsid w:val="0066668B"/>
    <w:rsid w:val="0068033D"/>
    <w:rsid w:val="006B7561"/>
    <w:rsid w:val="006E2BEF"/>
    <w:rsid w:val="00720D92"/>
    <w:rsid w:val="00732B62"/>
    <w:rsid w:val="00747D01"/>
    <w:rsid w:val="00762C61"/>
    <w:rsid w:val="007D2F96"/>
    <w:rsid w:val="007E1014"/>
    <w:rsid w:val="007E5E4E"/>
    <w:rsid w:val="00813F36"/>
    <w:rsid w:val="008718E6"/>
    <w:rsid w:val="00875658"/>
    <w:rsid w:val="008960D1"/>
    <w:rsid w:val="008D0320"/>
    <w:rsid w:val="00932835"/>
    <w:rsid w:val="00997711"/>
    <w:rsid w:val="009F53FD"/>
    <w:rsid w:val="00A2531E"/>
    <w:rsid w:val="00A778E3"/>
    <w:rsid w:val="00AA71A4"/>
    <w:rsid w:val="00AB0186"/>
    <w:rsid w:val="00AB23A3"/>
    <w:rsid w:val="00AC598A"/>
    <w:rsid w:val="00AC6007"/>
    <w:rsid w:val="00AD2E46"/>
    <w:rsid w:val="00AE1000"/>
    <w:rsid w:val="00B37860"/>
    <w:rsid w:val="00B623E3"/>
    <w:rsid w:val="00B71F68"/>
    <w:rsid w:val="00B80A2E"/>
    <w:rsid w:val="00B96324"/>
    <w:rsid w:val="00C30AE4"/>
    <w:rsid w:val="00C35A49"/>
    <w:rsid w:val="00C53AC2"/>
    <w:rsid w:val="00CC5F4E"/>
    <w:rsid w:val="00CF0C0A"/>
    <w:rsid w:val="00D4224E"/>
    <w:rsid w:val="00D5067E"/>
    <w:rsid w:val="00D56901"/>
    <w:rsid w:val="00DB101B"/>
    <w:rsid w:val="00DC4B07"/>
    <w:rsid w:val="00DF2DDB"/>
    <w:rsid w:val="00E4629B"/>
    <w:rsid w:val="00E63DCC"/>
    <w:rsid w:val="00E92A67"/>
    <w:rsid w:val="00EB0DF0"/>
    <w:rsid w:val="00ED2B29"/>
    <w:rsid w:val="00F27DBC"/>
    <w:rsid w:val="00F331A5"/>
    <w:rsid w:val="00F46C87"/>
    <w:rsid w:val="00F94E66"/>
    <w:rsid w:val="106E05E3"/>
    <w:rsid w:val="22991F27"/>
    <w:rsid w:val="587802E9"/>
    <w:rsid w:val="6B7A0ECB"/>
    <w:rsid w:val="778F4561"/>
    <w:rsid w:val="7BB63D67"/>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Footer Char"/>
    <w:basedOn w:val="5"/>
    <w:link w:val="2"/>
    <w:semiHidden/>
    <w:qFormat/>
    <w:locked/>
    <w:uiPriority w:val="99"/>
    <w:rPr>
      <w:sz w:val="18"/>
      <w:szCs w:val="18"/>
    </w:rPr>
  </w:style>
  <w:style w:type="character" w:customStyle="1" w:styleId="8">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395</Words>
  <Characters>2256</Characters>
  <Lines>0</Lines>
  <Paragraphs>0</Paragraphs>
  <TotalTime>0</TotalTime>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Administrator</cp:lastModifiedBy>
  <dcterms:modified xsi:type="dcterms:W3CDTF">2018-06-21T13:12:55Z</dcterms:modified>
  <dc:title>2017年长春市工业和信息化局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