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Times New Roman"/>
          <w:sz w:val="44"/>
          <w:szCs w:val="44"/>
        </w:rPr>
      </w:pPr>
      <w:r>
        <w:rPr>
          <w:rFonts w:ascii="Arial" w:hAnsi="Arial" w:eastAsia="方正小标宋简体" w:cs="Arial"/>
          <w:sz w:val="44"/>
          <w:szCs w:val="44"/>
        </w:rPr>
        <w:t>201</w:t>
      </w:r>
      <w:r>
        <w:rPr>
          <w:rFonts w:hint="eastAsia" w:ascii="Arial" w:hAnsi="Arial" w:eastAsia="方正小标宋简体" w:cs="Arial"/>
          <w:sz w:val="44"/>
          <w:szCs w:val="44"/>
          <w:lang w:val="en-US" w:eastAsia="zh-CN"/>
        </w:rPr>
        <w:t>8</w:t>
      </w:r>
      <w:r>
        <w:rPr>
          <w:rFonts w:hint="eastAsia" w:ascii="Arial" w:hAnsi="Arial" w:eastAsia="方正小标宋简体" w:cs="方正小标宋简体"/>
          <w:sz w:val="44"/>
          <w:szCs w:val="44"/>
        </w:rPr>
        <w:t>年长春</w:t>
      </w:r>
      <w:r>
        <w:rPr>
          <w:rFonts w:hint="eastAsia" w:ascii="Arial" w:hAnsi="Arial" w:eastAsia="方正小标宋简体" w:cs="方正小标宋简体"/>
          <w:sz w:val="44"/>
          <w:szCs w:val="44"/>
          <w:lang w:eastAsia="zh-CN"/>
        </w:rPr>
        <w:t>市</w:t>
      </w:r>
      <w:r>
        <w:rPr>
          <w:rFonts w:hint="eastAsia" w:ascii="Arial" w:hAnsi="Arial" w:eastAsia="方正小标宋简体" w:cs="方正小标宋简体"/>
          <w:sz w:val="44"/>
          <w:szCs w:val="44"/>
        </w:rPr>
        <w:t>二道区食品安全委员会办室</w:t>
      </w:r>
    </w:p>
    <w:p>
      <w:pPr>
        <w:jc w:val="center"/>
        <w:rPr>
          <w:rFonts w:ascii="Arial" w:hAnsi="Arial" w:eastAsia="方正小标宋简体" w:cs="Times New Roman"/>
          <w:sz w:val="44"/>
          <w:szCs w:val="44"/>
        </w:rPr>
      </w:pPr>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Arial"/>
          <w:sz w:val="44"/>
          <w:szCs w:val="44"/>
        </w:rPr>
      </w:pPr>
      <w:r>
        <w:rPr>
          <w:rFonts w:ascii="Arial" w:hAnsi="Arial" w:eastAsia="方正小标宋简体" w:cs="Arial"/>
          <w:sz w:val="44"/>
          <w:szCs w:val="44"/>
        </w:rPr>
        <w:t xml:space="preserve">  </w:t>
      </w:r>
    </w:p>
    <w:p>
      <w:pPr>
        <w:jc w:val="center"/>
        <w:rPr>
          <w:rFonts w:ascii="Arial" w:hAnsi="Arial" w:eastAsia="方正小标宋简体" w:cs="Arial"/>
          <w:sz w:val="44"/>
          <w:szCs w:val="44"/>
        </w:rPr>
      </w:pPr>
    </w:p>
    <w:p>
      <w:pPr>
        <w:spacing w:line="540" w:lineRule="exact"/>
        <w:jc w:val="center"/>
        <w:outlineLvl w:val="1"/>
        <w:rPr>
          <w:rFonts w:ascii="方正小标宋简体" w:hAnsi="方正小标宋简体" w:eastAsia="方正小标宋简体" w:cs="Times New Roman"/>
          <w:sz w:val="44"/>
          <w:szCs w:val="44"/>
        </w:rPr>
      </w:pP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八、食安办</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年部门支出总表情况</w:t>
      </w:r>
    </w:p>
    <w:p>
      <w:pPr>
        <w:spacing w:line="500" w:lineRule="exact"/>
        <w:rPr>
          <w:rFonts w:ascii="仿宋_GB2312" w:eastAsia="仿宋_GB2312" w:cs="Times New Roman"/>
          <w:sz w:val="32"/>
          <w:szCs w:val="32"/>
        </w:rPr>
      </w:pPr>
      <w:r>
        <w:rPr>
          <w:rFonts w:hint="eastAsia" w:ascii="仿宋_GB2312" w:hAnsi="宋体" w:eastAsia="仿宋_GB2312" w:cs="仿宋_GB2312"/>
          <w:sz w:val="32"/>
          <w:szCs w:val="32"/>
        </w:rPr>
        <w:t>九、运行经费支出情况</w:t>
      </w:r>
    </w:p>
    <w:p>
      <w:pPr>
        <w:spacing w:line="540" w:lineRule="exact"/>
        <w:rPr>
          <w:rFonts w:ascii="仿宋_GB2312" w:eastAsia="仿宋_GB2312" w:cs="Times New Roman"/>
          <w:sz w:val="32"/>
          <w:szCs w:val="32"/>
        </w:rPr>
      </w:pPr>
      <w:r>
        <w:rPr>
          <w:rFonts w:hint="eastAsia" w:ascii="仿宋_GB2312" w:hAnsi="宋体" w:eastAsia="仿宋_GB2312" w:cs="仿宋_GB2312"/>
          <w:sz w:val="32"/>
          <w:szCs w:val="32"/>
        </w:rPr>
        <w:t>十、政府采购支出情况</w:t>
      </w:r>
    </w:p>
    <w:p>
      <w:pPr>
        <w:spacing w:line="540" w:lineRule="exact"/>
        <w:rPr>
          <w:rFonts w:ascii="仿宋_GB2312" w:eastAsia="仿宋_GB2312" w:cs="Times New Roman"/>
          <w:sz w:val="32"/>
          <w:szCs w:val="32"/>
        </w:rPr>
      </w:pPr>
      <w:r>
        <w:rPr>
          <w:rFonts w:hint="eastAsia" w:ascii="仿宋_GB2312" w:hAnsi="宋体" w:eastAsia="仿宋_GB2312" w:cs="仿宋_GB2312"/>
          <w:sz w:val="32"/>
          <w:szCs w:val="32"/>
        </w:rPr>
        <w:t>十一、国有资产占用情况</w:t>
      </w:r>
    </w:p>
    <w:p>
      <w:pPr>
        <w:spacing w:line="500" w:lineRule="exact"/>
        <w:rPr>
          <w:rFonts w:ascii="仿宋_GB2312" w:eastAsia="仿宋_GB2312" w:cs="Times New Roman"/>
          <w:sz w:val="32"/>
          <w:szCs w:val="32"/>
        </w:rPr>
      </w:pPr>
      <w:r>
        <w:rPr>
          <w:rFonts w:hint="eastAsia" w:ascii="仿宋_GB2312" w:hAnsi="宋体" w:eastAsia="仿宋_GB2312" w:cs="仿宋_GB2312"/>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b/>
          <w:bCs/>
          <w:sz w:val="44"/>
          <w:szCs w:val="44"/>
        </w:rPr>
      </w:pPr>
      <w:r>
        <w:rPr>
          <w:rFonts w:ascii="宋体" w:hAnsi="宋体" w:cs="宋体"/>
          <w:b/>
          <w:bCs/>
          <w:sz w:val="44"/>
          <w:szCs w:val="44"/>
        </w:rPr>
        <w:t>201</w:t>
      </w:r>
      <w:r>
        <w:rPr>
          <w:rFonts w:hint="eastAsia" w:ascii="宋体" w:hAnsi="宋体" w:cs="宋体"/>
          <w:b/>
          <w:bCs/>
          <w:sz w:val="44"/>
          <w:szCs w:val="44"/>
          <w:lang w:val="en-US" w:eastAsia="zh-CN"/>
        </w:rPr>
        <w:t>8</w:t>
      </w:r>
      <w:r>
        <w:rPr>
          <w:rFonts w:hint="eastAsia" w:ascii="宋体" w:hAnsi="宋体" w:cs="宋体"/>
          <w:b/>
          <w:bCs/>
          <w:sz w:val="44"/>
          <w:szCs w:val="44"/>
        </w:rPr>
        <w:t>年度长春市二道区食品安全委员会办公室部门预算</w:t>
      </w:r>
    </w:p>
    <w:p>
      <w:pPr>
        <w:widowControl/>
        <w:spacing w:before="100" w:beforeAutospacing="1" w:after="100" w:afterAutospacing="1" w:line="360" w:lineRule="auto"/>
        <w:jc w:val="left"/>
        <w:rPr>
          <w:rFonts w:ascii="宋体" w:cs="Times New Roman"/>
          <w:color w:val="3E3E3E"/>
          <w:kern w:val="0"/>
          <w:sz w:val="18"/>
          <w:szCs w:val="18"/>
        </w:rPr>
      </w:pPr>
    </w:p>
    <w:p>
      <w:pPr>
        <w:widowControl/>
        <w:spacing w:before="100" w:beforeAutospacing="1" w:after="100" w:afterAutospacing="1" w:line="360" w:lineRule="auto"/>
        <w:jc w:val="center"/>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ind w:firstLine="630" w:firstLineChars="196"/>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（一）组织贯彻落实国家和省、市关于食品安全工作方针政策。</w:t>
      </w:r>
    </w:p>
    <w:p>
      <w:pPr>
        <w:ind w:firstLine="645"/>
        <w:rPr>
          <w:rFonts w:ascii="仿宋_GB2312" w:eastAsia="仿宋_GB2312" w:cs="Times New Roman"/>
          <w:sz w:val="32"/>
          <w:szCs w:val="32"/>
        </w:rPr>
      </w:pPr>
      <w:r>
        <w:rPr>
          <w:rFonts w:hint="eastAsia" w:ascii="仿宋_GB2312" w:eastAsia="仿宋_GB2312" w:cs="仿宋_GB2312"/>
          <w:sz w:val="32"/>
          <w:szCs w:val="32"/>
        </w:rPr>
        <w:t>（二）承办区食品安全委员会交办的综合协调任务，推动健全协调联动机制、完善综合监管制度。</w:t>
      </w:r>
    </w:p>
    <w:p>
      <w:pPr>
        <w:ind w:firstLine="645"/>
        <w:rPr>
          <w:rFonts w:ascii="仿宋_GB2312" w:eastAsia="仿宋_GB2312" w:cs="Times New Roman"/>
          <w:sz w:val="32"/>
          <w:szCs w:val="32"/>
        </w:rPr>
      </w:pPr>
      <w:r>
        <w:rPr>
          <w:rFonts w:hint="eastAsia" w:ascii="仿宋_GB2312" w:eastAsia="仿宋_GB2312" w:cs="仿宋_GB2312"/>
          <w:sz w:val="32"/>
          <w:szCs w:val="32"/>
        </w:rPr>
        <w:t>（三）督促检查食品安全法律法规和区食品安全委员会决策部署的贯彻执行情况。</w:t>
      </w:r>
    </w:p>
    <w:p>
      <w:pPr>
        <w:ind w:firstLine="645"/>
        <w:rPr>
          <w:rFonts w:ascii="仿宋_GB2312" w:eastAsia="仿宋_GB2312" w:cs="Times New Roman"/>
          <w:sz w:val="32"/>
          <w:szCs w:val="32"/>
        </w:rPr>
      </w:pPr>
      <w:r>
        <w:rPr>
          <w:rFonts w:hint="eastAsia" w:ascii="仿宋_GB2312" w:eastAsia="仿宋_GB2312" w:cs="仿宋_GB2312"/>
          <w:sz w:val="32"/>
          <w:szCs w:val="32"/>
        </w:rPr>
        <w:t>（四）督促检查食品安全委员会成员部门履行食品安全监管职责，并负责考核评价。</w:t>
      </w:r>
    </w:p>
    <w:p>
      <w:pPr>
        <w:ind w:firstLine="645"/>
        <w:rPr>
          <w:rFonts w:ascii="仿宋_GB2312" w:eastAsia="仿宋_GB2312" w:cs="Times New Roman"/>
          <w:sz w:val="32"/>
          <w:szCs w:val="32"/>
        </w:rPr>
      </w:pPr>
      <w:r>
        <w:rPr>
          <w:rFonts w:hint="eastAsia" w:ascii="仿宋_GB2312" w:eastAsia="仿宋_GB2312" w:cs="仿宋_GB2312"/>
          <w:sz w:val="32"/>
          <w:szCs w:val="32"/>
        </w:rPr>
        <w:t>（五）完善区食品安全隐患排查治理机制，组织开展食品安全重大整顿治理和联合检查行动。</w:t>
      </w:r>
    </w:p>
    <w:p>
      <w:pPr>
        <w:ind w:firstLine="645"/>
        <w:rPr>
          <w:rFonts w:ascii="仿宋_GB2312" w:eastAsia="仿宋_GB2312" w:cs="Times New Roman"/>
          <w:sz w:val="32"/>
          <w:szCs w:val="32"/>
        </w:rPr>
      </w:pPr>
      <w:r>
        <w:rPr>
          <w:rFonts w:hint="eastAsia" w:ascii="仿宋_GB2312" w:eastAsia="仿宋_GB2312" w:cs="仿宋_GB2312"/>
          <w:sz w:val="32"/>
          <w:szCs w:val="32"/>
        </w:rPr>
        <w:t>（六）推动食品安全应急体系和能力建设，研究提出有关部门食品安全责任分工意见，组织拟订区食品安全事故应急预案，监督、指导、协调重大食品安全事故处置及责任调查处理工作。</w:t>
      </w:r>
    </w:p>
    <w:p>
      <w:pPr>
        <w:ind w:firstLine="645"/>
        <w:rPr>
          <w:rFonts w:ascii="仿宋_GB2312" w:eastAsia="仿宋_GB2312" w:cs="Times New Roman"/>
          <w:sz w:val="32"/>
          <w:szCs w:val="32"/>
        </w:rPr>
      </w:pPr>
      <w:r>
        <w:rPr>
          <w:rFonts w:hint="eastAsia" w:ascii="仿宋_GB2312" w:eastAsia="仿宋_GB2312" w:cs="仿宋_GB2312"/>
          <w:sz w:val="32"/>
          <w:szCs w:val="32"/>
        </w:rPr>
        <w:t>（七）定期收集、整理、发布食品安全信息，指导食品安全舆情监测、处置、组织协调食品安全宣传、培训工作，组织参与有关食品安全交流与合作相关工作任务。</w:t>
      </w:r>
    </w:p>
    <w:p>
      <w:pPr>
        <w:ind w:firstLine="645"/>
        <w:rPr>
          <w:rFonts w:ascii="仿宋_GB2312" w:eastAsia="仿宋_GB2312" w:cs="Times New Roman"/>
          <w:sz w:val="32"/>
          <w:szCs w:val="32"/>
        </w:rPr>
      </w:pPr>
      <w:r>
        <w:rPr>
          <w:rFonts w:hint="eastAsia" w:ascii="仿宋_GB2312" w:eastAsia="仿宋_GB2312" w:cs="仿宋_GB2312"/>
          <w:sz w:val="32"/>
          <w:szCs w:val="32"/>
        </w:rPr>
        <w:t>（八）承担区食品安全委员会的日常工作。</w:t>
      </w:r>
    </w:p>
    <w:p>
      <w:pPr>
        <w:ind w:firstLine="645"/>
        <w:rPr>
          <w:rFonts w:ascii="仿宋_GB2312" w:eastAsia="仿宋_GB2312" w:cs="Times New Roman"/>
          <w:sz w:val="32"/>
          <w:szCs w:val="32"/>
        </w:rPr>
      </w:pPr>
      <w:r>
        <w:rPr>
          <w:rFonts w:hint="eastAsia" w:ascii="仿宋_GB2312" w:eastAsia="仿宋_GB2312" w:cs="仿宋_GB2312"/>
          <w:sz w:val="32"/>
          <w:szCs w:val="32"/>
        </w:rPr>
        <w:t>（九）承办区政府交办的其他事项。</w:t>
      </w:r>
    </w:p>
    <w:p>
      <w:pPr>
        <w:widowControl/>
        <w:spacing w:before="100" w:beforeAutospacing="1" w:after="100" w:afterAutospacing="1" w:line="360" w:lineRule="auto"/>
        <w:ind w:firstLine="360"/>
        <w:jc w:val="left"/>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二、内设机构</w:t>
      </w:r>
    </w:p>
    <w:p>
      <w:pPr>
        <w:widowControl/>
        <w:spacing w:before="240" w:after="240" w:line="360" w:lineRule="auto"/>
        <w:ind w:firstLine="640" w:firstLineChars="200"/>
        <w:jc w:val="left"/>
        <w:rPr>
          <w:rFonts w:ascii="仿宋_GB2312" w:eastAsia="仿宋_GB2312" w:cs="Times New Roman"/>
          <w:color w:val="3E3E3E"/>
          <w:kern w:val="0"/>
          <w:sz w:val="32"/>
          <w:szCs w:val="32"/>
        </w:rPr>
      </w:pPr>
      <w:r>
        <w:rPr>
          <w:rFonts w:hint="eastAsia" w:ascii="仿宋_GB2312" w:hAnsi="宋体" w:eastAsia="仿宋_GB2312" w:cs="仿宋_GB2312"/>
          <w:color w:val="3E3E3E"/>
          <w:kern w:val="0"/>
          <w:sz w:val="32"/>
          <w:szCs w:val="32"/>
        </w:rPr>
        <w:t>（一）综合协调科</w:t>
      </w:r>
    </w:p>
    <w:p>
      <w:pPr>
        <w:widowControl/>
        <w:spacing w:before="240" w:after="240" w:line="360" w:lineRule="auto"/>
        <w:ind w:firstLine="640" w:firstLineChars="200"/>
        <w:jc w:val="left"/>
        <w:rPr>
          <w:rFonts w:hint="eastAsia" w:ascii="仿宋_GB2312" w:hAnsi="宋体" w:eastAsia="仿宋_GB2312" w:cs="仿宋_GB2312"/>
          <w:color w:val="3E3E3E"/>
          <w:kern w:val="0"/>
          <w:sz w:val="32"/>
          <w:szCs w:val="32"/>
          <w:lang w:eastAsia="zh-CN"/>
        </w:rPr>
      </w:pPr>
      <w:r>
        <w:rPr>
          <w:rFonts w:hint="eastAsia" w:ascii="仿宋_GB2312" w:hAnsi="宋体" w:eastAsia="仿宋_GB2312" w:cs="仿宋_GB2312"/>
          <w:color w:val="3E3E3E"/>
          <w:kern w:val="0"/>
          <w:sz w:val="32"/>
          <w:szCs w:val="32"/>
        </w:rPr>
        <w:t>负责本部门所有日常及事物工作</w:t>
      </w:r>
      <w:r>
        <w:rPr>
          <w:rFonts w:hint="eastAsia" w:ascii="仿宋_GB2312" w:hAnsi="宋体" w:eastAsia="仿宋_GB2312" w:cs="仿宋_GB2312"/>
          <w:color w:val="3E3E3E"/>
          <w:kern w:val="0"/>
          <w:sz w:val="32"/>
          <w:szCs w:val="32"/>
          <w:lang w:eastAsia="zh-CN"/>
        </w:rPr>
        <w:t>。</w:t>
      </w:r>
    </w:p>
    <w:p>
      <w:pPr>
        <w:widowControl/>
        <w:spacing w:before="240" w:after="240" w:line="360" w:lineRule="auto"/>
        <w:ind w:firstLine="640" w:firstLineChars="200"/>
        <w:jc w:val="left"/>
        <w:rPr>
          <w:rFonts w:hint="eastAsia" w:ascii="仿宋_GB2312" w:hAnsi="宋体" w:eastAsia="仿宋_GB2312" w:cs="仿宋_GB2312"/>
          <w:color w:val="3E3E3E"/>
          <w:kern w:val="0"/>
          <w:sz w:val="32"/>
          <w:szCs w:val="32"/>
          <w:lang w:eastAsia="zh-CN"/>
        </w:rPr>
      </w:pPr>
      <w:r>
        <w:rPr>
          <w:rFonts w:hint="eastAsia" w:ascii="仿宋_GB2312" w:hAnsi="宋体" w:eastAsia="仿宋_GB2312" w:cs="仿宋_GB2312"/>
          <w:color w:val="3E3E3E"/>
          <w:kern w:val="0"/>
          <w:sz w:val="32"/>
          <w:szCs w:val="32"/>
          <w:lang w:eastAsia="zh-CN"/>
        </w:rPr>
        <w:t>（二）督查应急管理科</w:t>
      </w:r>
    </w:p>
    <w:p>
      <w:pPr>
        <w:widowControl/>
        <w:spacing w:before="240" w:after="240" w:line="360" w:lineRule="auto"/>
        <w:ind w:firstLine="640" w:firstLineChars="200"/>
        <w:jc w:val="left"/>
        <w:rPr>
          <w:rFonts w:hint="eastAsia" w:ascii="仿宋_GB2312" w:hAnsi="宋体" w:eastAsia="仿宋_GB2312" w:cs="仿宋_GB2312"/>
          <w:color w:val="3E3E3E"/>
          <w:kern w:val="0"/>
          <w:sz w:val="32"/>
          <w:szCs w:val="32"/>
          <w:lang w:val="en-US" w:eastAsia="zh-CN"/>
        </w:rPr>
      </w:pPr>
      <w:r>
        <w:rPr>
          <w:rFonts w:hint="eastAsia" w:ascii="仿宋_GB2312" w:hAnsi="宋体" w:eastAsia="仿宋_GB2312" w:cs="仿宋_GB2312"/>
          <w:color w:val="3E3E3E"/>
          <w:kern w:val="0"/>
          <w:sz w:val="32"/>
          <w:szCs w:val="32"/>
          <w:lang w:eastAsia="zh-CN"/>
        </w:rPr>
        <w:t>负责食品安全督查工作及</w:t>
      </w:r>
      <w:r>
        <w:rPr>
          <w:rFonts w:hint="eastAsia" w:ascii="仿宋_GB2312" w:hAnsi="宋体" w:eastAsia="仿宋_GB2312" w:cs="仿宋_GB2312"/>
          <w:color w:val="3E3E3E"/>
          <w:kern w:val="0"/>
          <w:sz w:val="32"/>
          <w:szCs w:val="32"/>
          <w:lang w:val="en-US" w:eastAsia="zh-CN"/>
        </w:rPr>
        <w:t>食品安全应急处置工作。</w:t>
      </w:r>
    </w:p>
    <w:p>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长春市二道区食品安全委员会办公室本级和所属事业单位，共计</w:t>
      </w:r>
      <w:r>
        <w:rPr>
          <w:rFonts w:ascii="宋体" w:hAnsi="宋体" w:cs="宋体"/>
          <w:color w:val="3E3E3E"/>
          <w:kern w:val="0"/>
          <w:sz w:val="32"/>
          <w:szCs w:val="32"/>
        </w:rPr>
        <w:t>1</w:t>
      </w:r>
      <w:r>
        <w:rPr>
          <w:rFonts w:hint="eastAsia" w:ascii="宋体" w:hAnsi="宋体" w:cs="宋体"/>
          <w:color w:val="3E3E3E"/>
          <w:kern w:val="0"/>
          <w:sz w:val="32"/>
          <w:szCs w:val="32"/>
        </w:rPr>
        <w:t>个预算单位。</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1</w:t>
      </w:r>
      <w:r>
        <w:rPr>
          <w:rFonts w:hint="eastAsia" w:ascii="宋体" w:hAnsi="宋体" w:cs="宋体"/>
          <w:color w:val="3E3E3E"/>
          <w:kern w:val="0"/>
          <w:sz w:val="32"/>
          <w:szCs w:val="32"/>
        </w:rPr>
        <w:t>长春市二道区食品安全委员会办公室</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长春市二道区食品安全委员会办公室本级现有人员</w:t>
      </w:r>
      <w:r>
        <w:rPr>
          <w:rFonts w:ascii="宋体" w:hAnsi="宋体" w:cs="宋体"/>
          <w:color w:val="3E3E3E"/>
          <w:kern w:val="0"/>
          <w:sz w:val="32"/>
          <w:szCs w:val="32"/>
        </w:rPr>
        <w:t>6</w:t>
      </w:r>
      <w:r>
        <w:rPr>
          <w:rFonts w:hint="eastAsia" w:ascii="宋体" w:hAnsi="宋体" w:cs="宋体"/>
          <w:color w:val="3E3E3E"/>
          <w:kern w:val="0"/>
          <w:sz w:val="32"/>
          <w:szCs w:val="32"/>
        </w:rPr>
        <w:t>人，其中，在职人员</w:t>
      </w:r>
      <w:r>
        <w:rPr>
          <w:rFonts w:ascii="宋体" w:hAnsi="宋体" w:cs="宋体"/>
          <w:color w:val="3E3E3E"/>
          <w:kern w:val="0"/>
          <w:sz w:val="32"/>
          <w:szCs w:val="32"/>
        </w:rPr>
        <w:t>6</w:t>
      </w:r>
      <w:r>
        <w:rPr>
          <w:rFonts w:hint="eastAsia" w:ascii="宋体" w:hAnsi="宋体" w:cs="宋体"/>
          <w:color w:val="3E3E3E"/>
          <w:kern w:val="0"/>
          <w:sz w:val="32"/>
          <w:szCs w:val="32"/>
        </w:rPr>
        <w:t>人员，离退休人员</w:t>
      </w:r>
      <w:r>
        <w:rPr>
          <w:rFonts w:ascii="宋体" w:cs="宋体"/>
          <w:color w:val="3E3E3E"/>
          <w:kern w:val="0"/>
          <w:sz w:val="32"/>
          <w:szCs w:val="32"/>
        </w:rPr>
        <w:t>0</w:t>
      </w:r>
      <w:r>
        <w:rPr>
          <w:rFonts w:hint="eastAsia" w:ascii="宋体" w:hAnsi="宋体" w:cs="宋体"/>
          <w:color w:val="3E3E3E"/>
          <w:kern w:val="0"/>
          <w:sz w:val="32"/>
          <w:szCs w:val="32"/>
        </w:rPr>
        <w:t>人。</w:t>
      </w:r>
      <w:bookmarkStart w:id="0" w:name="_GoBack"/>
      <w:bookmarkEnd w:id="0"/>
    </w:p>
    <w:p>
      <w:pPr>
        <w:widowControl/>
        <w:spacing w:before="100" w:beforeAutospacing="1" w:after="100" w:afterAutospacing="1" w:line="360" w:lineRule="auto"/>
        <w:jc w:val="center"/>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年度部门预算表</w:t>
      </w:r>
    </w:p>
    <w:p>
      <w:pPr>
        <w:widowControl/>
        <w:spacing w:before="100" w:beforeAutospacing="1" w:after="100" w:afterAutospacing="1" w:line="360" w:lineRule="auto"/>
        <w:ind w:firstLine="210" w:firstLineChars="100"/>
        <w:jc w:val="left"/>
        <w:rPr>
          <w:rFonts w:cs="Times New Roman"/>
        </w:rPr>
      </w:pP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p>
      <w:pPr>
        <w:widowControl/>
        <w:jc w:val="left"/>
        <w:rPr>
          <w:rFonts w:ascii="宋体" w:cs="Times New Roman"/>
          <w:kern w:val="0"/>
          <w:sz w:val="24"/>
          <w:szCs w:val="24"/>
        </w:rPr>
      </w:pPr>
      <w:r>
        <w:drawing>
          <wp:inline distT="0" distB="0" distL="114300" distR="114300">
            <wp:extent cx="5269865" cy="1551940"/>
            <wp:effectExtent l="0" t="0" r="6985" b="1016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4"/>
                    <a:stretch>
                      <a:fillRect/>
                    </a:stretch>
                  </pic:blipFill>
                  <pic:spPr>
                    <a:xfrm>
                      <a:off x="0" y="0"/>
                      <a:ext cx="5269865" cy="1551940"/>
                    </a:xfrm>
                    <a:prstGeom prst="rect">
                      <a:avLst/>
                    </a:prstGeom>
                    <a:noFill/>
                    <a:ln w="9525">
                      <a:noFill/>
                    </a:ln>
                  </pic:spPr>
                </pic:pic>
              </a:graphicData>
            </a:graphic>
          </wp:inline>
        </w:drawing>
      </w:r>
    </w:p>
    <w:p>
      <w:pPr>
        <w:widowControl/>
        <w:ind w:left="420" w:leftChars="100" w:hanging="210" w:hangingChars="100"/>
        <w:rPr>
          <w:rFonts w:ascii="宋体" w:cs="Times New Roman"/>
          <w:kern w:val="0"/>
          <w:sz w:val="24"/>
          <w:szCs w:val="24"/>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p>
      <w:pPr>
        <w:rPr>
          <w:rFonts w:ascii="宋体" w:cs="Times New Roman"/>
          <w:kern w:val="0"/>
          <w:sz w:val="24"/>
          <w:szCs w:val="24"/>
        </w:rPr>
      </w:pPr>
      <w:r>
        <w:drawing>
          <wp:inline distT="0" distB="0" distL="114300" distR="114300">
            <wp:extent cx="5377815" cy="1410970"/>
            <wp:effectExtent l="0" t="0" r="13335" b="17780"/>
            <wp:docPr id="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pic:cNvPicPr>
                      <a:picLocks noChangeAspect="1"/>
                    </pic:cNvPicPr>
                  </pic:nvPicPr>
                  <pic:blipFill>
                    <a:blip r:embed="rId5"/>
                    <a:stretch>
                      <a:fillRect/>
                    </a:stretch>
                  </pic:blipFill>
                  <pic:spPr>
                    <a:xfrm>
                      <a:off x="0" y="0"/>
                      <a:ext cx="5377815" cy="1410970"/>
                    </a:xfrm>
                    <a:prstGeom prst="rect">
                      <a:avLst/>
                    </a:prstGeom>
                    <a:noFill/>
                    <a:ln w="9525">
                      <a:noFill/>
                    </a:ln>
                  </pic:spPr>
                </pic:pic>
              </a:graphicData>
            </a:graphic>
          </wp:inline>
        </w:drawing>
      </w:r>
    </w:p>
    <w:p>
      <w:pPr>
        <w:widowControl/>
        <w:ind w:firstLine="210" w:firstLineChars="100"/>
        <w:jc w:val="left"/>
        <w:rPr>
          <w:rFonts w:cs="Times New Roman"/>
        </w:rPr>
      </w:pP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p>
      <w:pPr>
        <w:widowControl/>
        <w:jc w:val="left"/>
        <w:rPr>
          <w:rFonts w:ascii="宋体" w:cs="Times New Roman"/>
          <w:kern w:val="0"/>
          <w:sz w:val="24"/>
          <w:szCs w:val="24"/>
        </w:rPr>
      </w:pPr>
      <w:r>
        <w:drawing>
          <wp:anchor distT="0" distB="0" distL="114300" distR="114300" simplePos="0" relativeHeight="251658240" behindDoc="0" locked="0" layoutInCell="1" allowOverlap="1">
            <wp:simplePos x="0" y="0"/>
            <wp:positionH relativeFrom="column">
              <wp:posOffset>-61595</wp:posOffset>
            </wp:positionH>
            <wp:positionV relativeFrom="paragraph">
              <wp:posOffset>95885</wp:posOffset>
            </wp:positionV>
            <wp:extent cx="5605780" cy="2479040"/>
            <wp:effectExtent l="0" t="0" r="13970" b="1651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605780" cy="2479040"/>
                    </a:xfrm>
                    <a:prstGeom prst="rect">
                      <a:avLst/>
                    </a:prstGeom>
                    <a:noFill/>
                    <a:ln w="9525">
                      <a:noFill/>
                    </a:ln>
                  </pic:spPr>
                </pic:pic>
              </a:graphicData>
            </a:graphic>
          </wp:anchor>
        </w:drawing>
      </w:r>
    </w:p>
    <w:p>
      <w:pPr>
        <w:widowControl/>
        <w:ind w:firstLine="210" w:firstLineChars="100"/>
        <w:jc w:val="left"/>
        <w:rPr>
          <w:rFonts w:cs="Times New Roman"/>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4.20</w:t>
      </w:r>
      <w:r>
        <w:rPr>
          <w:rFonts w:hint="eastAsia" w:ascii="宋体" w:hAnsi="宋体" w:cs="宋体"/>
          <w:color w:val="3E3E3E"/>
          <w:kern w:val="0"/>
          <w:sz w:val="32"/>
          <w:szCs w:val="32"/>
          <w:lang w:val="en-US" w:eastAsia="zh-CN"/>
        </w:rPr>
        <w:t>18</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p>
      <w:pPr>
        <w:widowControl/>
        <w:jc w:val="left"/>
        <w:rPr>
          <w:rFonts w:ascii="宋体" w:cs="Times New Roman"/>
          <w:kern w:val="0"/>
          <w:sz w:val="24"/>
          <w:szCs w:val="24"/>
        </w:rPr>
      </w:pPr>
      <w:r>
        <w:drawing>
          <wp:inline distT="0" distB="0" distL="114300" distR="114300">
            <wp:extent cx="5273040" cy="3725545"/>
            <wp:effectExtent l="0" t="0" r="3810" b="8255"/>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7"/>
                    <a:stretch>
                      <a:fillRect/>
                    </a:stretch>
                  </pic:blipFill>
                  <pic:spPr>
                    <a:xfrm>
                      <a:off x="0" y="0"/>
                      <a:ext cx="5273040" cy="3725545"/>
                    </a:xfrm>
                    <a:prstGeom prst="rect">
                      <a:avLst/>
                    </a:prstGeom>
                    <a:noFill/>
                    <a:ln w="9525">
                      <a:noFill/>
                    </a:ln>
                  </pic:spPr>
                </pic:pic>
              </a:graphicData>
            </a:graphic>
          </wp:inline>
        </w:drawing>
      </w:r>
    </w:p>
    <w:p>
      <w:pPr>
        <w:widowControl/>
        <w:ind w:firstLine="210" w:firstLineChars="100"/>
        <w:jc w:val="left"/>
        <w:rPr>
          <w:rFonts w:ascii="宋体" w:cs="Times New Roman"/>
          <w:kern w:val="0"/>
          <w:sz w:val="24"/>
          <w:szCs w:val="24"/>
        </w:rPr>
      </w:pP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p>
      <w:pPr>
        <w:widowControl/>
        <w:ind w:left="31680" w:hanging="420" w:hangingChars="200"/>
        <w:jc w:val="left"/>
        <w:rPr>
          <w:rFonts w:ascii="宋体" w:cs="Times New Roman"/>
          <w:kern w:val="0"/>
          <w:sz w:val="24"/>
          <w:szCs w:val="24"/>
        </w:rPr>
      </w:pPr>
      <w:r>
        <w:drawing>
          <wp:inline distT="0" distB="0" distL="114300" distR="114300">
            <wp:extent cx="5269230" cy="2411095"/>
            <wp:effectExtent l="0" t="0" r="7620" b="8255"/>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8"/>
                    <a:stretch>
                      <a:fillRect/>
                    </a:stretch>
                  </pic:blipFill>
                  <pic:spPr>
                    <a:xfrm>
                      <a:off x="0" y="0"/>
                      <a:ext cx="5269230" cy="2411095"/>
                    </a:xfrm>
                    <a:prstGeom prst="rect">
                      <a:avLst/>
                    </a:prstGeom>
                    <a:noFill/>
                    <a:ln w="9525">
                      <a:noFill/>
                    </a:ln>
                  </pic:spPr>
                </pic:pic>
              </a:graphicData>
            </a:graphic>
          </wp:inline>
        </w:drawing>
      </w: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p>
      <w:pPr>
        <w:widowControl/>
        <w:jc w:val="left"/>
        <w:rPr>
          <w:rFonts w:ascii="宋体" w:cs="Times New Roman"/>
          <w:kern w:val="0"/>
          <w:sz w:val="24"/>
          <w:szCs w:val="24"/>
        </w:rPr>
      </w:pPr>
      <w:r>
        <w:drawing>
          <wp:inline distT="0" distB="0" distL="114300" distR="114300">
            <wp:extent cx="5269230" cy="2698750"/>
            <wp:effectExtent l="0" t="0" r="7620" b="6350"/>
            <wp:docPr id="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pic:cNvPicPr>
                      <a:picLocks noChangeAspect="1"/>
                    </pic:cNvPicPr>
                  </pic:nvPicPr>
                  <pic:blipFill>
                    <a:blip r:embed="rId9"/>
                    <a:stretch>
                      <a:fillRect/>
                    </a:stretch>
                  </pic:blipFill>
                  <pic:spPr>
                    <a:xfrm>
                      <a:off x="0" y="0"/>
                      <a:ext cx="5269230" cy="2698750"/>
                    </a:xfrm>
                    <a:prstGeom prst="rect">
                      <a:avLst/>
                    </a:prstGeom>
                    <a:noFill/>
                    <a:ln w="9525">
                      <a:noFill/>
                    </a:ln>
                  </pic:spPr>
                </pic:pic>
              </a:graphicData>
            </a:graphic>
          </wp:inline>
        </w:drawing>
      </w:r>
    </w:p>
    <w:p>
      <w:pPr>
        <w:widowControl/>
        <w:spacing w:before="100" w:beforeAutospacing="1" w:after="100" w:afterAutospacing="1" w:line="360" w:lineRule="auto"/>
        <w:ind w:firstLine="420" w:firstLineChars="200"/>
        <w:jc w:val="left"/>
        <w:rPr>
          <w:rFonts w:cs="Times New Roman"/>
        </w:rPr>
      </w:pP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p>
      <w:pPr>
        <w:widowControl/>
        <w:jc w:val="left"/>
        <w:rPr>
          <w:rFonts w:ascii="宋体" w:cs="Times New Roman"/>
          <w:kern w:val="0"/>
          <w:sz w:val="24"/>
          <w:szCs w:val="24"/>
        </w:rPr>
      </w:pPr>
      <w:r>
        <w:drawing>
          <wp:inline distT="0" distB="0" distL="114300" distR="114300">
            <wp:extent cx="5271135" cy="1186815"/>
            <wp:effectExtent l="0" t="0" r="5715" b="13335"/>
            <wp:docPr id="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5"/>
                    <pic:cNvPicPr>
                      <a:picLocks noChangeAspect="1"/>
                    </pic:cNvPicPr>
                  </pic:nvPicPr>
                  <pic:blipFill>
                    <a:blip r:embed="rId10"/>
                    <a:stretch>
                      <a:fillRect/>
                    </a:stretch>
                  </pic:blipFill>
                  <pic:spPr>
                    <a:xfrm>
                      <a:off x="0" y="0"/>
                      <a:ext cx="5271135" cy="1186815"/>
                    </a:xfrm>
                    <a:prstGeom prst="rect">
                      <a:avLst/>
                    </a:prstGeom>
                    <a:noFill/>
                    <a:ln w="9525">
                      <a:noFill/>
                    </a:ln>
                  </pic:spPr>
                </pic:pic>
              </a:graphicData>
            </a:graphic>
          </wp:inline>
        </w:drawing>
      </w:r>
    </w:p>
    <w:p>
      <w:pPr>
        <w:spacing w:line="360" w:lineRule="auto"/>
        <w:ind w:firstLine="360"/>
        <w:jc w:val="left"/>
        <w:rPr>
          <w:rFonts w:cs="Times New Roman"/>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部门支出总表</w:t>
      </w:r>
      <w:r>
        <w:rPr>
          <w:rFonts w:hint="eastAsia" w:ascii="宋体" w:hAnsi="宋体" w:cs="宋体"/>
          <w:color w:val="3E3E3E"/>
          <w:kern w:val="0"/>
          <w:sz w:val="32"/>
          <w:szCs w:val="32"/>
        </w:rPr>
        <w:fldChar w:fldCharType="end"/>
      </w:r>
    </w:p>
    <w:p>
      <w:pPr>
        <w:widowControl/>
        <w:jc w:val="left"/>
        <w:rPr>
          <w:rFonts w:ascii="宋体" w:cs="Times New Roman"/>
          <w:kern w:val="0"/>
          <w:sz w:val="24"/>
          <w:szCs w:val="24"/>
        </w:rPr>
      </w:pPr>
      <w:r>
        <w:drawing>
          <wp:inline distT="0" distB="0" distL="114300" distR="114300">
            <wp:extent cx="5269230" cy="2049780"/>
            <wp:effectExtent l="0" t="0" r="7620" b="7620"/>
            <wp:docPr id="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
                    <pic:cNvPicPr>
                      <a:picLocks noChangeAspect="1"/>
                    </pic:cNvPicPr>
                  </pic:nvPicPr>
                  <pic:blipFill>
                    <a:blip r:embed="rId11"/>
                    <a:stretch>
                      <a:fillRect/>
                    </a:stretch>
                  </pic:blipFill>
                  <pic:spPr>
                    <a:xfrm>
                      <a:off x="0" y="0"/>
                      <a:ext cx="5269230" cy="2049780"/>
                    </a:xfrm>
                    <a:prstGeom prst="rect">
                      <a:avLst/>
                    </a:prstGeom>
                    <a:noFill/>
                    <a:ln w="9525">
                      <a:noFill/>
                    </a:ln>
                  </pic:spPr>
                </pic:pic>
              </a:graphicData>
            </a:graphic>
          </wp:inline>
        </w:drawing>
      </w:r>
    </w:p>
    <w:p>
      <w:pPr>
        <w:widowControl/>
        <w:spacing w:before="100" w:beforeAutospacing="1" w:after="100" w:afterAutospacing="1" w:line="360" w:lineRule="auto"/>
        <w:jc w:val="center"/>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年度部门预算情况说明</w:t>
      </w:r>
    </w:p>
    <w:p>
      <w:pPr>
        <w:widowControl/>
        <w:spacing w:before="100" w:beforeAutospacing="1" w:after="100" w:afterAutospacing="1" w:line="360" w:lineRule="auto"/>
        <w:ind w:firstLine="627" w:firstLineChars="196"/>
        <w:jc w:val="left"/>
        <w:rPr>
          <w:rFonts w:ascii="宋体" w:cs="Times New Roman"/>
          <w:color w:val="3E3E3E"/>
          <w:kern w:val="0"/>
          <w:sz w:val="32"/>
          <w:szCs w:val="32"/>
        </w:rPr>
      </w:pPr>
      <w:r>
        <w:rPr>
          <w:rFonts w:hint="eastAsia" w:ascii="宋体" w:hAnsi="宋体" w:cs="宋体"/>
          <w:color w:val="3E3E3E"/>
          <w:kern w:val="0"/>
          <w:sz w:val="32"/>
          <w:szCs w:val="32"/>
        </w:rPr>
        <w:t>一、</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年财政拨款收支说明</w:t>
      </w:r>
    </w:p>
    <w:p>
      <w:pPr>
        <w:widowControl/>
        <w:spacing w:before="100" w:beforeAutospacing="1" w:after="100" w:afterAutospacing="1" w:line="360" w:lineRule="auto"/>
        <w:jc w:val="left"/>
        <w:rPr>
          <w:rFonts w:hint="eastAsia" w:ascii="宋体" w:eastAsia="宋体" w:cs="宋体"/>
          <w:color w:val="3E3E3E"/>
          <w:kern w:val="0"/>
          <w:sz w:val="32"/>
          <w:szCs w:val="32"/>
          <w:lang w:eastAsia="zh-CN"/>
        </w:rPr>
      </w:pPr>
      <w:r>
        <w:rPr>
          <w:rFonts w:ascii="宋体" w:hAnsi="宋体" w:cs="宋体"/>
          <w:color w:val="3E3E3E"/>
          <w:kern w:val="0"/>
          <w:sz w:val="32"/>
          <w:szCs w:val="32"/>
        </w:rPr>
        <w:t xml:space="preserve">    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w:t>
      </w:r>
      <w:r>
        <w:rPr>
          <w:rFonts w:ascii="宋体" w:cs="宋体"/>
          <w:color w:val="3E3E3E"/>
          <w:kern w:val="0"/>
          <w:sz w:val="32"/>
          <w:szCs w:val="32"/>
        </w:rPr>
        <w:t>,</w:t>
      </w:r>
      <w:r>
        <w:rPr>
          <w:rFonts w:hint="eastAsia" w:ascii="宋体" w:hAnsi="宋体" w:cs="宋体"/>
          <w:color w:val="3E3E3E"/>
          <w:kern w:val="0"/>
          <w:sz w:val="32"/>
          <w:szCs w:val="32"/>
        </w:rPr>
        <w:t>收入合计</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年财政预算支出</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万元，其中，基本支出</w:t>
      </w:r>
      <w:r>
        <w:rPr>
          <w:rFonts w:hint="eastAsia" w:ascii="宋体" w:hAnsi="宋体" w:cs="宋体"/>
          <w:color w:val="3E3E3E"/>
          <w:kern w:val="0"/>
          <w:sz w:val="32"/>
          <w:szCs w:val="32"/>
          <w:lang w:val="en-US" w:eastAsia="zh-CN"/>
        </w:rPr>
        <w:t>60.12</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35.65</w:t>
      </w:r>
      <w:r>
        <w:rPr>
          <w:rFonts w:hint="eastAsia" w:ascii="宋体" w:hAnsi="宋体" w:cs="宋体"/>
          <w:color w:val="3E3E3E"/>
          <w:kern w:val="0"/>
          <w:sz w:val="32"/>
          <w:szCs w:val="32"/>
        </w:rPr>
        <w:t>万元。</w:t>
      </w:r>
    </w:p>
    <w:p>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ascii="宋体" w:hAnsi="宋体" w:cs="宋体"/>
          <w:b/>
          <w:bCs/>
          <w:color w:val="3E3E3E"/>
          <w:kern w:val="0"/>
          <w:sz w:val="32"/>
          <w:szCs w:val="32"/>
        </w:rPr>
        <w:t xml:space="preserve"> </w:t>
      </w:r>
      <w:r>
        <w:rPr>
          <w:rFonts w:hint="eastAsia" w:ascii="宋体" w:hAnsi="宋体" w:cs="宋体"/>
          <w:color w:val="auto"/>
          <w:kern w:val="0"/>
          <w:sz w:val="32"/>
          <w:szCs w:val="32"/>
        </w:rPr>
        <w:t>二</w:t>
      </w:r>
      <w:r>
        <w:rPr>
          <w:rFonts w:hint="eastAsia" w:ascii="宋体" w:hAnsi="宋体" w:cs="宋体"/>
          <w:color w:val="3E3E3E"/>
          <w:kern w:val="0"/>
          <w:sz w:val="32"/>
          <w:szCs w:val="32"/>
        </w:rPr>
        <w:t>、一般公共预算支出表说明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工资统发</w:t>
      </w:r>
      <w:r>
        <w:rPr>
          <w:rFonts w:hint="eastAsia" w:ascii="宋体" w:hAnsi="宋体" w:cs="宋体"/>
          <w:color w:val="3E3E3E"/>
          <w:kern w:val="0"/>
          <w:sz w:val="32"/>
          <w:szCs w:val="32"/>
          <w:lang w:val="en-US" w:eastAsia="zh-CN"/>
        </w:rPr>
        <w:t>47.82</w:t>
      </w:r>
      <w:r>
        <w:rPr>
          <w:rFonts w:hint="eastAsia" w:ascii="宋体" w:hAnsi="宋体" w:cs="宋体"/>
          <w:color w:val="3E3E3E"/>
          <w:kern w:val="0"/>
          <w:sz w:val="32"/>
          <w:szCs w:val="32"/>
        </w:rPr>
        <w:t>万元，人均经费</w:t>
      </w:r>
      <w:r>
        <w:rPr>
          <w:rFonts w:ascii="宋体" w:hAnsi="宋体" w:cs="宋体"/>
          <w:color w:val="3E3E3E"/>
          <w:kern w:val="0"/>
          <w:sz w:val="32"/>
          <w:szCs w:val="32"/>
        </w:rPr>
        <w:t>5.</w:t>
      </w:r>
      <w:r>
        <w:rPr>
          <w:rFonts w:hint="eastAsia" w:ascii="宋体" w:hAnsi="宋体" w:cs="宋体"/>
          <w:color w:val="3E3E3E"/>
          <w:kern w:val="0"/>
          <w:sz w:val="32"/>
          <w:szCs w:val="32"/>
          <w:lang w:val="en-US" w:eastAsia="zh-CN"/>
        </w:rPr>
        <w:t>1</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车改补贴</w:t>
      </w:r>
      <w:r>
        <w:rPr>
          <w:rFonts w:hint="eastAsia" w:ascii="宋体" w:hAnsi="宋体" w:cs="宋体"/>
          <w:color w:val="3E3E3E"/>
          <w:kern w:val="0"/>
          <w:sz w:val="32"/>
          <w:szCs w:val="32"/>
          <w:lang w:val="en-US" w:eastAsia="zh-CN"/>
        </w:rPr>
        <w:t>7.2万元，</w:t>
      </w:r>
      <w:r>
        <w:rPr>
          <w:rFonts w:hint="eastAsia" w:ascii="宋体" w:hAnsi="宋体" w:cs="宋体"/>
          <w:color w:val="3E3E3E"/>
          <w:kern w:val="0"/>
          <w:sz w:val="32"/>
          <w:szCs w:val="32"/>
        </w:rPr>
        <w:t>创建</w:t>
      </w:r>
      <w:r>
        <w:rPr>
          <w:rFonts w:hint="eastAsia" w:ascii="宋体" w:hAnsi="宋体" w:cs="宋体"/>
          <w:color w:val="3E3E3E"/>
          <w:kern w:val="0"/>
          <w:sz w:val="32"/>
          <w:szCs w:val="32"/>
          <w:lang w:eastAsia="zh-CN"/>
        </w:rPr>
        <w:t>示范超市活动</w:t>
      </w:r>
      <w:r>
        <w:rPr>
          <w:rFonts w:hint="eastAsia" w:ascii="宋体" w:hAnsi="宋体" w:cs="宋体"/>
          <w:color w:val="3E3E3E"/>
          <w:kern w:val="0"/>
          <w:sz w:val="32"/>
          <w:szCs w:val="32"/>
        </w:rPr>
        <w:t>经费</w:t>
      </w:r>
      <w:r>
        <w:rPr>
          <w:rFonts w:hint="eastAsia" w:ascii="宋体" w:hAnsi="宋体" w:cs="宋体"/>
          <w:color w:val="3E3E3E"/>
          <w:kern w:val="0"/>
          <w:sz w:val="32"/>
          <w:szCs w:val="32"/>
          <w:lang w:val="en-US" w:eastAsia="zh-CN"/>
        </w:rPr>
        <w:t>15</w:t>
      </w:r>
      <w:r>
        <w:rPr>
          <w:rFonts w:hint="eastAsia" w:ascii="宋体" w:hAnsi="宋体" w:cs="宋体"/>
          <w:color w:val="3E3E3E"/>
          <w:kern w:val="0"/>
          <w:sz w:val="32"/>
          <w:szCs w:val="32"/>
        </w:rPr>
        <w:t>万元，食品安全宣传经费</w:t>
      </w:r>
      <w:r>
        <w:rPr>
          <w:rFonts w:hint="eastAsia" w:ascii="宋体" w:hAnsi="宋体" w:cs="宋体"/>
          <w:color w:val="3E3E3E"/>
          <w:kern w:val="0"/>
          <w:sz w:val="32"/>
          <w:szCs w:val="32"/>
          <w:lang w:val="en-US" w:eastAsia="zh-CN"/>
        </w:rPr>
        <w:t>10</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，政府购买服务（劳务派遣人员薪资）</w:t>
      </w:r>
      <w:r>
        <w:rPr>
          <w:rFonts w:hint="eastAsia" w:ascii="宋体" w:hAnsi="宋体" w:cs="宋体"/>
          <w:color w:val="3E3E3E"/>
          <w:kern w:val="0"/>
          <w:sz w:val="32"/>
          <w:szCs w:val="32"/>
          <w:lang w:val="en-US" w:eastAsia="zh-CN"/>
        </w:rPr>
        <w:t>10.65万元</w:t>
      </w:r>
      <w:r>
        <w:rPr>
          <w:rFonts w:hint="eastAsia" w:ascii="宋体" w:hAnsi="宋体" w:cs="宋体"/>
          <w:color w:val="3E3E3E"/>
          <w:kern w:val="0"/>
          <w:sz w:val="32"/>
          <w:szCs w:val="32"/>
        </w:rPr>
        <w:t>。</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auto"/>
          <w:kern w:val="0"/>
          <w:sz w:val="32"/>
          <w:szCs w:val="32"/>
        </w:rPr>
        <w:t>三</w:t>
      </w:r>
      <w:r>
        <w:rPr>
          <w:rFonts w:hint="eastAsia" w:ascii="宋体" w:hAnsi="宋体" w:cs="宋体"/>
          <w:color w:val="3E3E3E"/>
          <w:kern w:val="0"/>
          <w:sz w:val="32"/>
          <w:szCs w:val="32"/>
        </w:rPr>
        <w:t>、一般公共预算基本支出情况说明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hint="eastAsia" w:ascii="宋体" w:hAnsi="宋体" w:cs="宋体"/>
          <w:color w:val="3E3E3E"/>
          <w:kern w:val="0"/>
          <w:sz w:val="32"/>
          <w:szCs w:val="32"/>
          <w:lang w:val="en-US" w:eastAsia="zh-CN"/>
        </w:rPr>
        <w:t>47.82</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2.</w:t>
      </w:r>
      <w:r>
        <w:rPr>
          <w:rFonts w:hint="eastAsia" w:ascii="宋体" w:hAnsi="宋体" w:cs="宋体"/>
          <w:color w:val="3E3E3E"/>
          <w:kern w:val="0"/>
          <w:sz w:val="32"/>
          <w:szCs w:val="32"/>
        </w:rPr>
        <w:t>商品和服务支出</w:t>
      </w:r>
      <w:r>
        <w:rPr>
          <w:rFonts w:hint="eastAsia" w:ascii="宋体" w:hAnsi="宋体" w:cs="宋体"/>
          <w:color w:val="3E3E3E"/>
          <w:kern w:val="0"/>
          <w:sz w:val="32"/>
          <w:szCs w:val="32"/>
          <w:lang w:val="en-US" w:eastAsia="zh-CN"/>
        </w:rPr>
        <w:t>10.17</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3.</w:t>
      </w:r>
      <w:r>
        <w:rPr>
          <w:rFonts w:hint="eastAsia" w:ascii="宋体" w:hAnsi="宋体" w:cs="宋体"/>
          <w:color w:val="3E3E3E"/>
          <w:kern w:val="0"/>
          <w:sz w:val="32"/>
          <w:szCs w:val="32"/>
        </w:rPr>
        <w:t>对个人和家庭补助支出</w:t>
      </w:r>
      <w:r>
        <w:rPr>
          <w:rFonts w:hint="eastAsia" w:ascii="宋体" w:hAnsi="宋体" w:cs="宋体"/>
          <w:color w:val="3E3E3E"/>
          <w:kern w:val="0"/>
          <w:sz w:val="32"/>
          <w:szCs w:val="32"/>
          <w:lang w:val="en-US" w:eastAsia="zh-CN"/>
        </w:rPr>
        <w:t>2.13</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60.12</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b/>
          <w:bCs/>
          <w:color w:val="3E3E3E"/>
          <w:kern w:val="0"/>
          <w:sz w:val="32"/>
          <w:szCs w:val="32"/>
        </w:rPr>
      </w:pPr>
      <w:r>
        <w:rPr>
          <w:rFonts w:hint="eastAsia" w:ascii="宋体" w:hAnsi="宋体" w:cs="宋体"/>
          <w:color w:val="3E3E3E"/>
          <w:kern w:val="0"/>
          <w:sz w:val="32"/>
          <w:szCs w:val="32"/>
        </w:rPr>
        <w:t>四</w:t>
      </w:r>
      <w:r>
        <w:rPr>
          <w:rFonts w:hint="eastAsia" w:ascii="宋体" w:hAnsi="宋体" w:cs="宋体"/>
          <w:b/>
          <w:bCs/>
          <w:color w:val="3E3E3E"/>
          <w:kern w:val="0"/>
          <w:sz w:val="32"/>
          <w:szCs w:val="32"/>
        </w:rPr>
        <w:t>、</w:t>
      </w:r>
      <w:r>
        <w:rPr>
          <w:rFonts w:ascii="宋体" w:hAnsi="宋体" w:cs="宋体"/>
          <w:b/>
          <w:bCs/>
          <w:color w:val="3E3E3E"/>
          <w:kern w:val="0"/>
          <w:sz w:val="32"/>
          <w:szCs w:val="32"/>
        </w:rPr>
        <w:t>201</w:t>
      </w:r>
      <w:r>
        <w:rPr>
          <w:rFonts w:hint="eastAsia" w:ascii="宋体" w:hAnsi="宋体" w:cs="宋体"/>
          <w:b/>
          <w:bCs/>
          <w:color w:val="3E3E3E"/>
          <w:kern w:val="0"/>
          <w:sz w:val="32"/>
          <w:szCs w:val="32"/>
          <w:lang w:val="en-US" w:eastAsia="zh-CN"/>
        </w:rPr>
        <w:t>8</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w:t>
      </w:r>
      <w:r>
        <w:rPr>
          <w:rFonts w:hint="eastAsia" w:ascii="宋体" w:cs="宋体"/>
          <w:color w:val="3E3E3E"/>
          <w:kern w:val="0"/>
          <w:sz w:val="32"/>
          <w:szCs w:val="32"/>
        </w:rPr>
        <w:t>“</w:t>
      </w:r>
      <w:r>
        <w:rPr>
          <w:rFonts w:hint="eastAsia" w:ascii="宋体" w:hAnsi="宋体" w:cs="宋体"/>
          <w:color w:val="3E3E3E"/>
          <w:kern w:val="0"/>
          <w:sz w:val="32"/>
          <w:szCs w:val="32"/>
        </w:rPr>
        <w:t>三公</w:t>
      </w:r>
      <w:r>
        <w:rPr>
          <w:rFonts w:hint="eastAsia" w:ascii="宋体" w:cs="宋体"/>
          <w:color w:val="3E3E3E"/>
          <w:kern w:val="0"/>
          <w:sz w:val="32"/>
          <w:szCs w:val="32"/>
        </w:rPr>
        <w:t>”</w:t>
      </w:r>
      <w:r>
        <w:rPr>
          <w:rFonts w:hint="eastAsia" w:ascii="宋体" w:hAnsi="宋体" w:cs="宋体"/>
          <w:color w:val="3E3E3E"/>
          <w:kern w:val="0"/>
          <w:sz w:val="32"/>
          <w:szCs w:val="32"/>
        </w:rPr>
        <w:t>经费预算数</w:t>
      </w:r>
      <w:r>
        <w:rPr>
          <w:rFonts w:ascii="宋体" w:cs="宋体"/>
          <w:color w:val="3E3E3E"/>
          <w:kern w:val="0"/>
          <w:sz w:val="32"/>
          <w:szCs w:val="32"/>
        </w:rPr>
        <w:t>0</w:t>
      </w:r>
      <w:r>
        <w:rPr>
          <w:rFonts w:hint="eastAsia" w:ascii="宋体" w:hAnsi="宋体" w:cs="宋体"/>
          <w:color w:val="3E3E3E"/>
          <w:kern w:val="0"/>
          <w:sz w:val="32"/>
          <w:szCs w:val="32"/>
        </w:rPr>
        <w:t>万元，同比下降</w:t>
      </w:r>
      <w:r>
        <w:rPr>
          <w:rFonts w:ascii="宋体" w:hAnsi="宋体" w:cs="宋体"/>
          <w:color w:val="3E3E3E"/>
          <w:kern w:val="0"/>
          <w:sz w:val="32"/>
          <w:szCs w:val="32"/>
        </w:rPr>
        <w:t>0%</w:t>
      </w:r>
      <w:r>
        <w:rPr>
          <w:rFonts w:hint="eastAsia" w:ascii="宋体" w:hAnsi="宋体" w:cs="宋体"/>
          <w:color w:val="3E3E3E"/>
          <w:kern w:val="0"/>
          <w:sz w:val="32"/>
          <w:szCs w:val="32"/>
        </w:rPr>
        <w:t>。</w:t>
      </w:r>
    </w:p>
    <w:p>
      <w:pPr>
        <w:autoSpaceDE w:val="0"/>
        <w:autoSpaceDN w:val="0"/>
        <w:adjustRightInd w:val="0"/>
        <w:rPr>
          <w:rFonts w:ascii="宋体" w:cs="Times New Roman"/>
          <w:color w:val="3E3E3E"/>
          <w:kern w:val="0"/>
          <w:sz w:val="32"/>
          <w:szCs w:val="32"/>
        </w:rPr>
      </w:pPr>
      <w:r>
        <w:rPr>
          <w:rFonts w:ascii="宋体" w:hAnsi="宋体" w:cs="宋体"/>
          <w:color w:val="3E3E3E"/>
          <w:kern w:val="0"/>
          <w:sz w:val="32"/>
          <w:szCs w:val="32"/>
        </w:rPr>
        <w:t xml:space="preserve">    </w:t>
      </w:r>
      <w:r>
        <w:rPr>
          <w:rFonts w:hint="eastAsia" w:ascii="宋体" w:hAnsi="宋体" w:cs="宋体"/>
          <w:color w:val="3E3E3E"/>
          <w:kern w:val="0"/>
          <w:sz w:val="32"/>
          <w:szCs w:val="32"/>
        </w:rPr>
        <w:t>五、政府性基金预算说明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长春市二道区食品安全委员会办公室</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年预算中无政府性基金收入。</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六、部门收支表说明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食安办</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万元。一般公共服务支出</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七、部门收入总表情况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食安办</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总收入</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万元，其中财政拨款</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八、部门支出总表情况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按功能分类：一般公共服务支出</w:t>
      </w:r>
      <w:r>
        <w:rPr>
          <w:rFonts w:hint="eastAsia" w:ascii="宋体" w:hAnsi="宋体" w:cs="宋体"/>
          <w:color w:val="3E3E3E"/>
          <w:kern w:val="0"/>
          <w:sz w:val="32"/>
          <w:szCs w:val="32"/>
          <w:lang w:val="en-US" w:eastAsia="zh-CN"/>
        </w:rPr>
        <w:t>95.77</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科目分类：基本支出</w:t>
      </w:r>
      <w:r>
        <w:rPr>
          <w:rFonts w:hint="eastAsia" w:ascii="宋体" w:hAnsi="宋体" w:cs="宋体"/>
          <w:color w:val="3E3E3E"/>
          <w:kern w:val="0"/>
          <w:sz w:val="32"/>
          <w:szCs w:val="32"/>
          <w:lang w:val="en-US" w:eastAsia="zh-CN"/>
        </w:rPr>
        <w:t>60.12</w:t>
      </w:r>
      <w:r>
        <w:rPr>
          <w:rFonts w:hint="eastAsia" w:ascii="宋体" w:hAnsi="宋体" w:cs="宋体"/>
          <w:color w:val="3E3E3E"/>
          <w:kern w:val="0"/>
          <w:sz w:val="32"/>
          <w:szCs w:val="32"/>
        </w:rPr>
        <w:t>万元，项目支出</w:t>
      </w:r>
      <w:r>
        <w:rPr>
          <w:rFonts w:hint="eastAsia" w:ascii="宋体" w:hAnsi="宋体" w:cs="宋体"/>
          <w:color w:val="3E3E3E"/>
          <w:kern w:val="0"/>
          <w:sz w:val="32"/>
          <w:szCs w:val="32"/>
          <w:lang w:val="en-US" w:eastAsia="zh-CN"/>
        </w:rPr>
        <w:t>35.65</w:t>
      </w:r>
      <w:r>
        <w:rPr>
          <w:rFonts w:hint="eastAsia" w:ascii="宋体" w:hAnsi="宋体" w:cs="宋体"/>
          <w:color w:val="3E3E3E"/>
          <w:kern w:val="0"/>
          <w:sz w:val="32"/>
          <w:szCs w:val="32"/>
        </w:rPr>
        <w:t>万元。</w:t>
      </w:r>
    </w:p>
    <w:p>
      <w:pPr>
        <w:spacing w:line="500" w:lineRule="exact"/>
        <w:ind w:firstLine="640" w:firstLineChars="200"/>
        <w:rPr>
          <w:rFonts w:ascii="宋体" w:cs="Times New Roman"/>
          <w:sz w:val="32"/>
          <w:szCs w:val="32"/>
        </w:rPr>
      </w:pPr>
      <w:r>
        <w:rPr>
          <w:rFonts w:hint="eastAsia" w:ascii="宋体" w:hAnsi="宋体" w:cs="宋体"/>
          <w:color w:val="auto"/>
          <w:sz w:val="32"/>
          <w:szCs w:val="32"/>
        </w:rPr>
        <w:t>九</w:t>
      </w:r>
      <w:r>
        <w:rPr>
          <w:rFonts w:hint="eastAsia" w:ascii="宋体" w:hAnsi="宋体" w:cs="宋体"/>
          <w:sz w:val="32"/>
          <w:szCs w:val="32"/>
        </w:rPr>
        <w:t>、机关运行经费支出情况</w:t>
      </w:r>
    </w:p>
    <w:p>
      <w:pPr>
        <w:spacing w:line="500" w:lineRule="exact"/>
        <w:ind w:firstLine="640" w:firstLineChars="200"/>
        <w:rPr>
          <w:rFonts w:ascii="宋体" w:cs="Times New Roman"/>
          <w:sz w:val="32"/>
          <w:szCs w:val="32"/>
        </w:rPr>
      </w:pPr>
      <w:r>
        <w:rPr>
          <w:rFonts w:ascii="宋体" w:hAnsi="宋体" w:cs="宋体"/>
          <w:sz w:val="32"/>
          <w:szCs w:val="32"/>
        </w:rPr>
        <w:t>201</w:t>
      </w:r>
      <w:r>
        <w:rPr>
          <w:rFonts w:hint="eastAsia" w:ascii="宋体" w:hAnsi="宋体" w:cs="宋体"/>
          <w:sz w:val="32"/>
          <w:szCs w:val="32"/>
          <w:lang w:val="en-US" w:eastAsia="zh-CN"/>
        </w:rPr>
        <w:t>8</w:t>
      </w:r>
      <w:r>
        <w:rPr>
          <w:rFonts w:hint="eastAsia" w:ascii="宋体" w:hAnsi="宋体" w:cs="宋体"/>
          <w:sz w:val="32"/>
          <w:szCs w:val="32"/>
        </w:rPr>
        <w:t>年长春市二道区食品安全委员会办公室的机关运行经费财政拨款支出</w:t>
      </w:r>
      <w:r>
        <w:rPr>
          <w:rFonts w:hint="eastAsia" w:ascii="宋体" w:hAnsi="宋体" w:cs="宋体"/>
          <w:sz w:val="32"/>
          <w:szCs w:val="32"/>
          <w:lang w:val="en-US" w:eastAsia="zh-CN"/>
        </w:rPr>
        <w:t>2.97</w:t>
      </w:r>
      <w:r>
        <w:rPr>
          <w:rFonts w:hint="eastAsia" w:ascii="宋体" w:hAnsi="宋体" w:cs="宋体"/>
          <w:sz w:val="32"/>
          <w:szCs w:val="32"/>
        </w:rPr>
        <w:t>万元，其中办公费</w:t>
      </w:r>
      <w:r>
        <w:rPr>
          <w:rFonts w:hint="eastAsia" w:ascii="宋体" w:hAnsi="宋体" w:cs="宋体"/>
          <w:sz w:val="32"/>
          <w:szCs w:val="32"/>
          <w:lang w:val="en-US" w:eastAsia="zh-CN"/>
        </w:rPr>
        <w:t>2.07</w:t>
      </w:r>
      <w:r>
        <w:rPr>
          <w:rFonts w:hint="eastAsia" w:ascii="宋体" w:hAnsi="宋体" w:cs="宋体"/>
          <w:sz w:val="32"/>
          <w:szCs w:val="32"/>
        </w:rPr>
        <w:t>万元，差旅费</w:t>
      </w:r>
      <w:r>
        <w:rPr>
          <w:rFonts w:ascii="宋体" w:hAnsi="宋体" w:cs="宋体"/>
          <w:sz w:val="32"/>
          <w:szCs w:val="32"/>
        </w:rPr>
        <w:t>0.</w:t>
      </w:r>
      <w:r>
        <w:rPr>
          <w:rFonts w:hint="eastAsia" w:ascii="宋体" w:hAnsi="宋体" w:cs="宋体"/>
          <w:sz w:val="32"/>
          <w:szCs w:val="32"/>
          <w:lang w:val="en-US" w:eastAsia="zh-CN"/>
        </w:rPr>
        <w:t>4</w:t>
      </w:r>
      <w:r>
        <w:rPr>
          <w:rFonts w:hint="eastAsia" w:ascii="宋体" w:hAnsi="宋体" w:cs="宋体"/>
          <w:sz w:val="32"/>
          <w:szCs w:val="32"/>
        </w:rPr>
        <w:t>万元，邮电费</w:t>
      </w:r>
      <w:r>
        <w:rPr>
          <w:rFonts w:ascii="宋体" w:hAnsi="宋体" w:cs="宋体"/>
          <w:sz w:val="32"/>
          <w:szCs w:val="32"/>
        </w:rPr>
        <w:t>0.</w:t>
      </w:r>
      <w:r>
        <w:rPr>
          <w:rFonts w:hint="eastAsia" w:ascii="宋体" w:hAnsi="宋体" w:cs="宋体"/>
          <w:sz w:val="32"/>
          <w:szCs w:val="32"/>
          <w:lang w:val="en-US" w:eastAsia="zh-CN"/>
        </w:rPr>
        <w:t>5</w:t>
      </w:r>
      <w:r>
        <w:rPr>
          <w:rFonts w:hint="eastAsia" w:ascii="宋体" w:hAnsi="宋体" w:cs="宋体"/>
          <w:sz w:val="32"/>
          <w:szCs w:val="32"/>
        </w:rPr>
        <w:t>万元。</w:t>
      </w:r>
    </w:p>
    <w:p>
      <w:pPr>
        <w:spacing w:line="500" w:lineRule="exac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十、政府采购支出情况</w:t>
      </w:r>
    </w:p>
    <w:p>
      <w:pPr>
        <w:spacing w:line="500" w:lineRule="exact"/>
        <w:ind w:firstLine="640" w:firstLineChars="200"/>
        <w:rPr>
          <w:rFonts w:hint="eastAsia" w:ascii="宋体" w:eastAsia="宋体" w:cs="Times New Roman"/>
          <w:sz w:val="32"/>
          <w:szCs w:val="32"/>
          <w:lang w:val="en-US" w:eastAsia="zh-CN"/>
        </w:rPr>
      </w:pPr>
      <w:r>
        <w:rPr>
          <w:rFonts w:ascii="宋体" w:hAnsi="宋体" w:cs="宋体"/>
          <w:sz w:val="32"/>
          <w:szCs w:val="32"/>
        </w:rPr>
        <w:t>201</w:t>
      </w:r>
      <w:r>
        <w:rPr>
          <w:rFonts w:hint="eastAsia" w:ascii="宋体" w:hAnsi="宋体" w:cs="宋体"/>
          <w:sz w:val="32"/>
          <w:szCs w:val="32"/>
          <w:lang w:val="en-US" w:eastAsia="zh-CN"/>
        </w:rPr>
        <w:t>8</w:t>
      </w:r>
      <w:r>
        <w:rPr>
          <w:rFonts w:hint="eastAsia" w:ascii="宋体" w:hAnsi="宋体" w:cs="宋体"/>
          <w:sz w:val="32"/>
          <w:szCs w:val="32"/>
        </w:rPr>
        <w:t>年长春市二道区食品安全委员会办公室无政府采购项目预算</w:t>
      </w:r>
      <w:r>
        <w:rPr>
          <w:rFonts w:hint="eastAsia" w:ascii="宋体" w:hAnsi="宋体" w:cs="宋体"/>
          <w:sz w:val="32"/>
          <w:szCs w:val="32"/>
          <w:lang w:eastAsia="zh-CN"/>
        </w:rPr>
        <w:t>。</w:t>
      </w:r>
    </w:p>
    <w:p>
      <w:pPr>
        <w:spacing w:line="500" w:lineRule="exac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十一、国有资产占用情况</w:t>
      </w:r>
    </w:p>
    <w:p>
      <w:pPr>
        <w:spacing w:line="500" w:lineRule="exact"/>
        <w:ind w:firstLine="640" w:firstLineChars="200"/>
        <w:rPr>
          <w:rFonts w:ascii="宋体" w:cs="Times New Roman"/>
          <w:sz w:val="32"/>
          <w:szCs w:val="32"/>
        </w:rPr>
      </w:pPr>
      <w:r>
        <w:rPr>
          <w:rFonts w:ascii="宋体" w:hAnsi="宋体" w:cs="宋体"/>
          <w:sz w:val="32"/>
          <w:szCs w:val="32"/>
        </w:rPr>
        <w:t>201</w:t>
      </w:r>
      <w:r>
        <w:rPr>
          <w:rFonts w:hint="eastAsia" w:ascii="宋体" w:hAnsi="宋体" w:cs="宋体"/>
          <w:sz w:val="32"/>
          <w:szCs w:val="32"/>
          <w:lang w:val="en-US" w:eastAsia="zh-CN"/>
        </w:rPr>
        <w:t>8</w:t>
      </w:r>
      <w:r>
        <w:rPr>
          <w:rFonts w:hint="eastAsia" w:ascii="宋体" w:hAnsi="宋体" w:cs="宋体"/>
          <w:sz w:val="32"/>
          <w:szCs w:val="32"/>
        </w:rPr>
        <w:t>年长春市二道区食品安全委员会办公室无国有资产占用。</w:t>
      </w:r>
    </w:p>
    <w:p>
      <w:pPr>
        <w:spacing w:line="500" w:lineRule="exact"/>
        <w:ind w:firstLine="480" w:firstLineChars="150"/>
        <w:rPr>
          <w:rFonts w:ascii="宋体" w:cs="Times New Roman"/>
          <w:sz w:val="32"/>
          <w:szCs w:val="32"/>
        </w:rPr>
      </w:pPr>
      <w:r>
        <w:rPr>
          <w:rFonts w:hint="eastAsia" w:ascii="宋体" w:hAnsi="宋体" w:cs="宋体"/>
          <w:sz w:val="32"/>
          <w:szCs w:val="32"/>
        </w:rPr>
        <w:t>十二、预算绩效情况</w:t>
      </w:r>
    </w:p>
    <w:p>
      <w:pPr>
        <w:autoSpaceDE w:val="0"/>
        <w:autoSpaceDN w:val="0"/>
        <w:adjustRightInd w:val="0"/>
        <w:ind w:firstLine="640" w:firstLineChars="200"/>
        <w:rPr>
          <w:rFonts w:ascii="宋体" w:cs="Times New Roman"/>
          <w:sz w:val="32"/>
          <w:szCs w:val="32"/>
        </w:rPr>
      </w:pPr>
      <w:r>
        <w:rPr>
          <w:rFonts w:ascii="宋体" w:hAnsi="宋体" w:cs="宋体"/>
          <w:sz w:val="32"/>
          <w:szCs w:val="32"/>
        </w:rPr>
        <w:t>201</w:t>
      </w:r>
      <w:r>
        <w:rPr>
          <w:rFonts w:hint="eastAsia" w:ascii="宋体" w:hAnsi="宋体" w:cs="宋体"/>
          <w:sz w:val="32"/>
          <w:szCs w:val="32"/>
          <w:lang w:val="en-US" w:eastAsia="zh-CN"/>
        </w:rPr>
        <w:t>8</w:t>
      </w:r>
      <w:r>
        <w:rPr>
          <w:rFonts w:hint="eastAsia" w:ascii="宋体" w:hAnsi="宋体" w:cs="宋体"/>
          <w:sz w:val="32"/>
          <w:szCs w:val="32"/>
        </w:rPr>
        <w:t>年长春市二道区食品安全委员会办公室列入部门预算项目主要是食品安全宣传经费</w:t>
      </w:r>
      <w:r>
        <w:rPr>
          <w:rFonts w:hint="eastAsia" w:ascii="宋体" w:hAnsi="宋体" w:cs="宋体"/>
          <w:sz w:val="32"/>
          <w:szCs w:val="32"/>
          <w:lang w:val="en-US" w:eastAsia="zh-CN"/>
        </w:rPr>
        <w:t>10</w:t>
      </w:r>
      <w:r>
        <w:rPr>
          <w:rFonts w:hint="eastAsia" w:ascii="宋体" w:hAnsi="宋体" w:cs="宋体"/>
          <w:sz w:val="32"/>
          <w:szCs w:val="32"/>
        </w:rPr>
        <w:t>万元、创建</w:t>
      </w:r>
      <w:r>
        <w:rPr>
          <w:rFonts w:hint="eastAsia" w:ascii="宋体" w:hAnsi="宋体" w:cs="宋体"/>
          <w:sz w:val="32"/>
          <w:szCs w:val="32"/>
          <w:lang w:eastAsia="zh-CN"/>
        </w:rPr>
        <w:t>示范超市活动</w:t>
      </w:r>
      <w:r>
        <w:rPr>
          <w:rFonts w:hint="eastAsia" w:ascii="宋体" w:hAnsi="宋体" w:cs="宋体"/>
          <w:sz w:val="32"/>
          <w:szCs w:val="32"/>
        </w:rPr>
        <w:t>经费</w:t>
      </w:r>
      <w:r>
        <w:rPr>
          <w:rFonts w:hint="eastAsia" w:ascii="宋体" w:hAnsi="宋体" w:cs="宋体"/>
          <w:sz w:val="32"/>
          <w:szCs w:val="32"/>
          <w:lang w:val="en-US" w:eastAsia="zh-CN"/>
        </w:rPr>
        <w:t>15</w:t>
      </w:r>
      <w:r>
        <w:rPr>
          <w:rFonts w:hint="eastAsia" w:ascii="宋体" w:hAnsi="宋体" w:cs="宋体"/>
          <w:sz w:val="32"/>
          <w:szCs w:val="32"/>
        </w:rPr>
        <w:t>万元，</w:t>
      </w:r>
      <w:r>
        <w:rPr>
          <w:rFonts w:hint="eastAsia" w:ascii="宋体" w:hAnsi="宋体" w:cs="宋体"/>
          <w:sz w:val="32"/>
          <w:szCs w:val="32"/>
          <w:lang w:eastAsia="zh-CN"/>
        </w:rPr>
        <w:t>政府购买服务（劳务派遣人员薪资）</w:t>
      </w:r>
      <w:r>
        <w:rPr>
          <w:rFonts w:hint="eastAsia" w:ascii="宋体" w:hAnsi="宋体" w:cs="宋体"/>
          <w:sz w:val="32"/>
          <w:szCs w:val="32"/>
          <w:lang w:val="en-US" w:eastAsia="zh-CN"/>
        </w:rPr>
        <w:t>10.65万元。</w:t>
      </w:r>
      <w:r>
        <w:rPr>
          <w:rFonts w:hint="eastAsia" w:ascii="宋体" w:hAnsi="宋体" w:cs="宋体"/>
          <w:sz w:val="32"/>
          <w:szCs w:val="32"/>
        </w:rPr>
        <w:t>绩效目标是开展全区食品安全宣传工作和创建食品安全示范城</w:t>
      </w:r>
      <w:r>
        <w:rPr>
          <w:rFonts w:hint="eastAsia" w:ascii="宋体" w:hAnsi="宋体" w:cs="宋体"/>
          <w:sz w:val="32"/>
          <w:szCs w:val="32"/>
          <w:lang w:eastAsia="zh-CN"/>
        </w:rPr>
        <w:t>市</w:t>
      </w:r>
      <w:r>
        <w:rPr>
          <w:rFonts w:hint="eastAsia" w:ascii="宋体" w:hAnsi="宋体" w:cs="宋体"/>
          <w:sz w:val="32"/>
          <w:szCs w:val="32"/>
        </w:rPr>
        <w:t>。</w:t>
      </w:r>
    </w:p>
    <w:p>
      <w:pPr>
        <w:autoSpaceDE w:val="0"/>
        <w:autoSpaceDN w:val="0"/>
        <w:adjustRightInd w:val="0"/>
        <w:ind w:firstLine="630" w:firstLineChars="196"/>
        <w:jc w:val="center"/>
        <w:rPr>
          <w:rFonts w:ascii="宋体" w:cs="Times New Roman"/>
          <w:b/>
          <w:bCs/>
          <w:kern w:val="0"/>
          <w:sz w:val="32"/>
          <w:szCs w:val="32"/>
        </w:rPr>
      </w:pPr>
      <w:r>
        <w:rPr>
          <w:rFonts w:hint="eastAsia" w:ascii="宋体" w:hAnsi="宋体" w:cs="宋体"/>
          <w:b/>
          <w:bCs/>
          <w:kern w:val="0"/>
          <w:sz w:val="32"/>
          <w:szCs w:val="32"/>
        </w:rPr>
        <w:t>第四部分名词解释</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一、财政拨款收入：指二道区财政当年拨付的资金。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二、事业收入：指事业单位开展专业业务活动及辅助活动所取得的收入。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三、事业单位经营收入：指事业单位在专业业务活动及其辅助活动之外开展非独立核算经营活动取得的收入。</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四、其他收入：指除上述“财政拨款收入”、“事业收入”、“事业单位经营收入”等以外的收入。主要是按规定动用的售房收入、存款利息收入等。</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六、上年结转：指以前年度尚未完成，结转到本年仍按原规定用途继续使用的资金（预算中为预计数）。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七、结转下年：指以前年度预算安排、因客观条件发生变化无法按原计划实施，需延迟到以后年度按原规定用途继续使用的资金（预算中为预计数）。</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八、基本支出：指为保障机构正常运转、完成日常工作任务而发生的人员支出和公用支出。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九、项目支出：指在基本支出之外为完成特定行政任务和事业发展目标所发生的支出。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十、事业单位经营支出：指事业单位在专业业务活动及其辅助活动之外开展非独立核算经营活动发生的支出。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十一、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03344"/>
    <w:rsid w:val="002A7FBA"/>
    <w:rsid w:val="00300EEC"/>
    <w:rsid w:val="0035248F"/>
    <w:rsid w:val="00382EA3"/>
    <w:rsid w:val="003A7ECF"/>
    <w:rsid w:val="003C6805"/>
    <w:rsid w:val="003E65D3"/>
    <w:rsid w:val="00415BBF"/>
    <w:rsid w:val="00430CB6"/>
    <w:rsid w:val="00437D6A"/>
    <w:rsid w:val="004415A0"/>
    <w:rsid w:val="004E0793"/>
    <w:rsid w:val="0050084A"/>
    <w:rsid w:val="00516AB5"/>
    <w:rsid w:val="00520680"/>
    <w:rsid w:val="005211A3"/>
    <w:rsid w:val="005238B0"/>
    <w:rsid w:val="005418B6"/>
    <w:rsid w:val="00556658"/>
    <w:rsid w:val="00562AC7"/>
    <w:rsid w:val="0057123B"/>
    <w:rsid w:val="005759CD"/>
    <w:rsid w:val="005C178A"/>
    <w:rsid w:val="00614FF8"/>
    <w:rsid w:val="00626C72"/>
    <w:rsid w:val="0066668B"/>
    <w:rsid w:val="006B7561"/>
    <w:rsid w:val="006E2BEF"/>
    <w:rsid w:val="00720D92"/>
    <w:rsid w:val="00732B62"/>
    <w:rsid w:val="00762C61"/>
    <w:rsid w:val="007A319B"/>
    <w:rsid w:val="007C6A05"/>
    <w:rsid w:val="007F505A"/>
    <w:rsid w:val="008718E6"/>
    <w:rsid w:val="00875658"/>
    <w:rsid w:val="00891C21"/>
    <w:rsid w:val="008960D1"/>
    <w:rsid w:val="00932835"/>
    <w:rsid w:val="00997711"/>
    <w:rsid w:val="009F53FD"/>
    <w:rsid w:val="00A2531E"/>
    <w:rsid w:val="00A2702A"/>
    <w:rsid w:val="00A648BF"/>
    <w:rsid w:val="00A76BCB"/>
    <w:rsid w:val="00AA71A4"/>
    <w:rsid w:val="00AB0186"/>
    <w:rsid w:val="00AB23A3"/>
    <w:rsid w:val="00AC598A"/>
    <w:rsid w:val="00AC6007"/>
    <w:rsid w:val="00AD2E46"/>
    <w:rsid w:val="00AE1000"/>
    <w:rsid w:val="00B12DA5"/>
    <w:rsid w:val="00B37860"/>
    <w:rsid w:val="00B623E3"/>
    <w:rsid w:val="00B71F68"/>
    <w:rsid w:val="00B80A2E"/>
    <w:rsid w:val="00BF1D3B"/>
    <w:rsid w:val="00C30AE4"/>
    <w:rsid w:val="00CC5F4E"/>
    <w:rsid w:val="00D128BC"/>
    <w:rsid w:val="00D4224E"/>
    <w:rsid w:val="00D5067E"/>
    <w:rsid w:val="00D56901"/>
    <w:rsid w:val="00DB260D"/>
    <w:rsid w:val="00DC0CE0"/>
    <w:rsid w:val="00DC4B07"/>
    <w:rsid w:val="00DF2DDB"/>
    <w:rsid w:val="00E63DCC"/>
    <w:rsid w:val="00EB0DF0"/>
    <w:rsid w:val="00EC4426"/>
    <w:rsid w:val="00ED2B29"/>
    <w:rsid w:val="00F331A5"/>
    <w:rsid w:val="00F46C87"/>
    <w:rsid w:val="00F54A5D"/>
    <w:rsid w:val="00F609FA"/>
    <w:rsid w:val="00F921C9"/>
    <w:rsid w:val="00F94E66"/>
    <w:rsid w:val="00FC053A"/>
    <w:rsid w:val="1C347B9C"/>
    <w:rsid w:val="31A835E9"/>
    <w:rsid w:val="3A5F248E"/>
    <w:rsid w:val="52282370"/>
    <w:rsid w:val="64410F03"/>
    <w:rsid w:val="7BB63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8"/>
    <w:semiHidden/>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rPr>
      <w:rFonts w:ascii="Times New Roman" w:hAnsi="Times New Roman" w:cs="Times New Roman"/>
      <w:sz w:val="24"/>
      <w:szCs w:val="24"/>
    </w:rPr>
  </w:style>
  <w:style w:type="character" w:customStyle="1" w:styleId="8">
    <w:name w:val="Footer Char"/>
    <w:basedOn w:val="6"/>
    <w:link w:val="3"/>
    <w:semiHidden/>
    <w:locked/>
    <w:uiPriority w:val="99"/>
    <w:rPr>
      <w:sz w:val="18"/>
      <w:szCs w:val="18"/>
    </w:rPr>
  </w:style>
  <w:style w:type="character" w:customStyle="1" w:styleId="9">
    <w:name w:val="Header Char"/>
    <w:basedOn w:val="6"/>
    <w:link w:val="4"/>
    <w:semiHidden/>
    <w:qFormat/>
    <w:locked/>
    <w:uiPriority w:val="99"/>
    <w:rPr>
      <w:sz w:val="18"/>
      <w:szCs w:val="18"/>
    </w:rPr>
  </w:style>
  <w:style w:type="paragraph" w:customStyle="1" w:styleId="10">
    <w:name w:val="Char"/>
    <w:basedOn w:val="1"/>
    <w:uiPriority w:val="99"/>
    <w:pPr>
      <w:widowControl/>
      <w:spacing w:after="160" w:line="240" w:lineRule="exact"/>
      <w:jc w:val="left"/>
    </w:pPr>
    <w:rPr>
      <w:rFonts w:ascii="Verdana" w:hAnsi="Verdana" w:cs="Verdana"/>
      <w:kern w:val="0"/>
      <w:sz w:val="20"/>
      <w:szCs w:val="20"/>
      <w:lang w:eastAsia="en-US"/>
    </w:rPr>
  </w:style>
  <w:style w:type="character" w:customStyle="1" w:styleId="11">
    <w:name w:val="Balloon Text Char"/>
    <w:basedOn w:val="6"/>
    <w:link w:val="2"/>
    <w:semiHidden/>
    <w:locked/>
    <w:uiPriority w:val="99"/>
    <w:rPr>
      <w:sz w:val="2"/>
      <w:szCs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12</Pages>
  <Words>741</Words>
  <Characters>4228</Characters>
  <Lines>0</Lines>
  <Paragraphs>0</Paragraphs>
  <TotalTime>51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常伟吖</cp:lastModifiedBy>
  <cp:lastPrinted>2018-06-13T03:45:27Z</cp:lastPrinted>
  <dcterms:modified xsi:type="dcterms:W3CDTF">2018-06-13T03:58:05Z</dcterms:modified>
  <dc:title>2017年长春市工业和信息化局</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