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rPr>
          <w:rFonts w:hint="eastAsia" w:ascii="黑体" w:hAnsi="黑体" w:eastAsia="黑体" w:cs="宋体"/>
          <w:bCs/>
          <w:sz w:val="28"/>
          <w:szCs w:val="28"/>
        </w:rPr>
      </w:pPr>
      <w:r>
        <w:rPr>
          <w:rFonts w:hint="eastAsia" w:ascii="黑体" w:hAnsi="黑体" w:eastAsia="黑体" w:cs="宋体"/>
          <w:bCs/>
          <w:sz w:val="28"/>
          <w:szCs w:val="28"/>
        </w:rPr>
        <w:t>附件3-1</w:t>
      </w:r>
    </w:p>
    <w:p>
      <w:pPr>
        <w:widowControl w:val="0"/>
        <w:jc w:val="both"/>
        <w:rPr>
          <w:rFonts w:hint="eastAsia" w:ascii="仿宋_GB2312" w:hAnsi="仿宋_GB2312" w:cs="仿宋_GB2312"/>
          <w:sz w:val="32"/>
          <w:szCs w:val="32"/>
        </w:rPr>
      </w:pPr>
    </w:p>
    <w:p>
      <w:pPr>
        <w:widowControl w:val="0"/>
        <w:snapToGrid w:val="0"/>
        <w:jc w:val="center"/>
        <w:rPr>
          <w:rFonts w:hint="eastAsia" w:ascii="宋体" w:hAnsi="宋体" w:eastAsia="宋体" w:cs="宋体"/>
          <w:b/>
          <w:bCs/>
          <w:sz w:val="44"/>
          <w:szCs w:val="44"/>
          <w:lang w:eastAsia="zh-CN"/>
        </w:rPr>
      </w:pPr>
      <w:r>
        <w:rPr>
          <w:rFonts w:hint="eastAsia" w:ascii="宋体" w:hAnsi="宋体" w:eastAsia="宋体" w:cs="宋体"/>
          <w:b/>
          <w:bCs/>
          <w:sz w:val="44"/>
          <w:szCs w:val="44"/>
        </w:rPr>
        <w:t>长春市</w:t>
      </w:r>
      <w:r>
        <w:rPr>
          <w:rFonts w:hint="eastAsia" w:ascii="宋体" w:hAnsi="宋体" w:eastAsia="宋体" w:cs="宋体"/>
          <w:b/>
          <w:bCs/>
          <w:sz w:val="44"/>
          <w:szCs w:val="44"/>
          <w:lang w:eastAsia="zh-CN"/>
        </w:rPr>
        <w:t>二道</w:t>
      </w:r>
      <w:r>
        <w:rPr>
          <w:rFonts w:hint="eastAsia" w:ascii="宋体" w:hAnsi="宋体" w:eastAsia="宋体" w:cs="宋体"/>
          <w:b/>
          <w:bCs/>
          <w:sz w:val="44"/>
          <w:szCs w:val="44"/>
        </w:rPr>
        <w:t>区</w:t>
      </w:r>
      <w:r>
        <w:rPr>
          <w:rFonts w:hint="eastAsia" w:ascii="宋体" w:hAnsi="宋体" w:eastAsia="宋体" w:cs="宋体"/>
          <w:b/>
          <w:bCs/>
          <w:sz w:val="44"/>
          <w:szCs w:val="44"/>
          <w:lang w:eastAsia="zh-CN"/>
        </w:rPr>
        <w:t>教育局</w:t>
      </w:r>
    </w:p>
    <w:p>
      <w:pPr>
        <w:widowControl w:val="0"/>
        <w:snapToGrid w:val="0"/>
        <w:jc w:val="center"/>
        <w:rPr>
          <w:rFonts w:hint="eastAsia" w:ascii="仿宋_GB2312" w:hAnsi="仿宋_GB2312" w:cs="仿宋_GB2312"/>
          <w:sz w:val="44"/>
          <w:szCs w:val="44"/>
        </w:rPr>
      </w:pPr>
      <w:r>
        <w:rPr>
          <w:rFonts w:hint="eastAsia" w:ascii="宋体" w:hAnsi="宋体" w:eastAsia="宋体" w:cs="宋体"/>
          <w:b/>
          <w:bCs/>
          <w:sz w:val="44"/>
          <w:szCs w:val="44"/>
        </w:rPr>
        <w:t>行政职权运行内部监督管理制度</w:t>
      </w:r>
    </w:p>
    <w:p>
      <w:pPr>
        <w:widowControl w:val="0"/>
        <w:jc w:val="both"/>
        <w:rPr>
          <w:rFonts w:hint="eastAsia" w:ascii="仿宋_GB2312" w:hAnsi="仿宋_GB2312" w:cs="仿宋_GB2312"/>
          <w:sz w:val="32"/>
          <w:szCs w:val="32"/>
        </w:rPr>
      </w:pPr>
    </w:p>
    <w:p>
      <w:pPr>
        <w:widowControl w:val="0"/>
        <w:wordWrap/>
        <w:adjustRightInd/>
        <w:snapToGrid w:val="0"/>
        <w:spacing w:before="0" w:after="0" w:line="360" w:lineRule="auto"/>
        <w:ind w:left="0" w:leftChars="0" w:right="0" w:firstLine="483" w:firstLineChars="151"/>
        <w:jc w:val="both"/>
        <w:textAlignment w:val="auto"/>
        <w:outlineLvl w:val="9"/>
        <w:rPr>
          <w:rFonts w:hint="eastAsia" w:ascii="仿宋_GB2312" w:hAnsi="仿宋_GB2312" w:cs="仿宋_GB2312"/>
          <w:sz w:val="32"/>
          <w:szCs w:val="32"/>
        </w:rPr>
      </w:pPr>
      <w:r>
        <w:rPr>
          <w:rFonts w:hint="eastAsia" w:ascii="仿宋_GB2312" w:hAnsi="仿宋_GB2312" w:cs="仿宋_GB2312"/>
          <w:sz w:val="32"/>
          <w:szCs w:val="32"/>
        </w:rPr>
        <w:t xml:space="preserve"> 为切实做好</w:t>
      </w:r>
      <w:r>
        <w:rPr>
          <w:rFonts w:hint="eastAsia" w:ascii="仿宋_GB2312" w:hAnsi="仿宋_GB2312" w:cs="仿宋_GB2312"/>
          <w:sz w:val="32"/>
          <w:szCs w:val="32"/>
          <w:lang w:eastAsia="zh-CN"/>
        </w:rPr>
        <w:t>长春市二道区教育局</w:t>
      </w:r>
      <w:r>
        <w:rPr>
          <w:rFonts w:hint="eastAsia" w:ascii="仿宋_GB2312" w:hAnsi="仿宋_GB2312" w:cs="仿宋_GB2312"/>
          <w:sz w:val="32"/>
          <w:szCs w:val="32"/>
        </w:rPr>
        <w:t>行政职权内部监督管理工作，加强对行政行为的监督，提高行政效率，促进依法行政，维护百姓权益，办人民满意教育，特制定以下制度。</w:t>
      </w:r>
    </w:p>
    <w:p>
      <w:pPr>
        <w:widowControl w:val="0"/>
        <w:wordWrap/>
        <w:adjustRightInd/>
        <w:snapToGrid w:val="0"/>
        <w:spacing w:before="0" w:after="0" w:line="360" w:lineRule="auto"/>
        <w:ind w:left="0" w:leftChars="0" w:right="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一、监督检查对象</w:t>
      </w:r>
    </w:p>
    <w:p>
      <w:pPr>
        <w:widowControl w:val="0"/>
        <w:wordWrap/>
        <w:adjustRightInd/>
        <w:snapToGrid w:val="0"/>
        <w:spacing w:before="0" w:after="0" w:line="360" w:lineRule="auto"/>
        <w:ind w:left="0" w:leftChars="0" w:right="0"/>
        <w:textAlignment w:val="auto"/>
        <w:outlineLvl w:val="9"/>
        <w:rPr>
          <w:rFonts w:hint="eastAsia" w:ascii="黑体" w:hAnsi="黑体" w:eastAsia="黑体" w:cs="黑体"/>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本制度适用于本单位具有行政许可、行政处罚、行政确认以及其他行政职权的科室及其工作人员。</w:t>
      </w:r>
      <w:r>
        <w:rPr>
          <w:rFonts w:hint="eastAsia" w:ascii="黑体" w:hAnsi="黑体" w:eastAsia="黑体" w:cs="黑体"/>
          <w:sz w:val="32"/>
          <w:szCs w:val="32"/>
        </w:rPr>
        <w:t xml:space="preserve">    </w:t>
      </w:r>
    </w:p>
    <w:p>
      <w:pPr>
        <w:widowControl w:val="0"/>
        <w:wordWrap/>
        <w:adjustRightInd/>
        <w:snapToGrid w:val="0"/>
        <w:spacing w:before="0" w:after="0" w:line="360" w:lineRule="auto"/>
        <w:ind w:left="0" w:leftChars="0" w:right="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二、监督检查内容</w:t>
      </w:r>
    </w:p>
    <w:p>
      <w:pPr>
        <w:numPr>
          <w:ilvl w:val="0"/>
          <w:numId w:val="0"/>
        </w:numPr>
        <w:wordWrap/>
        <w:adjustRightInd/>
        <w:snapToGrid w:val="0"/>
        <w:spacing w:before="0" w:after="0" w:line="360" w:lineRule="auto"/>
        <w:ind w:right="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1.监督检查有关执法工作的规范性文件及制度、措施的合法性；</w:t>
      </w:r>
    </w:p>
    <w:p>
      <w:pPr>
        <w:numPr>
          <w:ilvl w:val="0"/>
          <w:numId w:val="0"/>
        </w:numPr>
        <w:wordWrap/>
        <w:adjustRightInd/>
        <w:snapToGrid w:val="0"/>
        <w:spacing w:before="0" w:after="0" w:line="360" w:lineRule="auto"/>
        <w:ind w:right="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2.监督检查行政审批事项的审批依据、程序合法性和办结的时效性；</w:t>
      </w:r>
    </w:p>
    <w:p>
      <w:pPr>
        <w:numPr>
          <w:ilvl w:val="0"/>
          <w:numId w:val="0"/>
        </w:numPr>
        <w:wordWrap/>
        <w:adjustRightInd/>
        <w:snapToGrid w:val="0"/>
        <w:spacing w:before="0" w:after="0" w:line="360" w:lineRule="auto"/>
        <w:ind w:right="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3.监督检查规范权力运行制度公开公示情况及制度规定的行权过程应公开公示的环节；</w:t>
      </w:r>
    </w:p>
    <w:p>
      <w:pPr>
        <w:numPr>
          <w:ilvl w:val="0"/>
          <w:numId w:val="0"/>
        </w:numPr>
        <w:wordWrap/>
        <w:adjustRightInd/>
        <w:snapToGrid w:val="0"/>
        <w:spacing w:before="0" w:after="0" w:line="360" w:lineRule="auto"/>
        <w:ind w:right="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4.监督检查审核确认一次性告知及其它便民服务措施落实情况；</w:t>
      </w:r>
    </w:p>
    <w:p>
      <w:pPr>
        <w:numPr>
          <w:ilvl w:val="0"/>
          <w:numId w:val="0"/>
        </w:numPr>
        <w:wordWrap/>
        <w:adjustRightInd/>
        <w:snapToGrid w:val="0"/>
        <w:spacing w:before="0" w:after="0" w:line="360" w:lineRule="auto"/>
        <w:ind w:right="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5.监督检查行权的廉洁性；</w:t>
      </w:r>
    </w:p>
    <w:p>
      <w:pPr>
        <w:numPr>
          <w:ilvl w:val="0"/>
          <w:numId w:val="0"/>
        </w:numPr>
        <w:wordWrap/>
        <w:adjustRightInd/>
        <w:snapToGrid w:val="0"/>
        <w:spacing w:before="0" w:after="0" w:line="360" w:lineRule="auto"/>
        <w:ind w:right="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6.监督检查配套制度执行情况；</w:t>
      </w:r>
    </w:p>
    <w:p>
      <w:pPr>
        <w:numPr>
          <w:ilvl w:val="0"/>
          <w:numId w:val="0"/>
        </w:numPr>
        <w:wordWrap/>
        <w:adjustRightInd/>
        <w:snapToGrid w:val="0"/>
        <w:spacing w:before="0" w:after="0" w:line="360" w:lineRule="auto"/>
        <w:ind w:leftChars="200" w:right="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lang w:val="en-US" w:eastAsia="zh-CN"/>
        </w:rPr>
        <w:t>7.监督检查规范权力运行制度所涉及的其他情况。</w:t>
      </w:r>
    </w:p>
    <w:p>
      <w:pPr>
        <w:widowControl w:val="0"/>
        <w:numPr>
          <w:ilvl w:val="0"/>
          <w:numId w:val="0"/>
        </w:numPr>
        <w:wordWrap/>
        <w:adjustRightInd/>
        <w:snapToGrid w:val="0"/>
        <w:spacing w:before="0" w:after="0" w:line="360" w:lineRule="auto"/>
        <w:ind w:left="0" w:leftChars="0" w:right="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三、监督检查方式</w:t>
      </w:r>
    </w:p>
    <w:p>
      <w:pPr>
        <w:widowControl w:val="0"/>
        <w:numPr>
          <w:ilvl w:val="0"/>
          <w:numId w:val="1"/>
        </w:numPr>
        <w:wordWrap/>
        <w:adjustRightInd/>
        <w:snapToGrid w:val="0"/>
        <w:spacing w:before="0" w:after="0" w:line="360" w:lineRule="auto"/>
        <w:ind w:left="0" w:leftChars="0" w:righ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定期自查、书面汇报；</w:t>
      </w:r>
    </w:p>
    <w:p>
      <w:pPr>
        <w:widowControl w:val="0"/>
        <w:numPr>
          <w:ilvl w:val="0"/>
          <w:numId w:val="1"/>
        </w:numPr>
        <w:wordWrap/>
        <w:adjustRightInd/>
        <w:snapToGrid w:val="0"/>
        <w:spacing w:before="0" w:after="0" w:line="360" w:lineRule="auto"/>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rPr>
        <w:t>日常检查</w:t>
      </w:r>
      <w:r>
        <w:rPr>
          <w:rFonts w:hint="eastAsia" w:ascii="仿宋_GB2312" w:hAnsi="仿宋_GB2312" w:eastAsia="仿宋_GB2312" w:cs="仿宋_GB2312"/>
          <w:sz w:val="32"/>
          <w:lang w:eastAsia="zh-CN"/>
        </w:rPr>
        <w:t>、专项</w:t>
      </w:r>
      <w:r>
        <w:rPr>
          <w:rFonts w:hint="eastAsia" w:ascii="仿宋_GB2312" w:hAnsi="仿宋_GB2312" w:eastAsia="仿宋_GB2312" w:cs="仿宋_GB2312"/>
          <w:sz w:val="32"/>
        </w:rPr>
        <w:t>督导</w:t>
      </w:r>
      <w:r>
        <w:rPr>
          <w:rFonts w:hint="eastAsia" w:ascii="仿宋_GB2312" w:hAnsi="仿宋_GB2312" w:eastAsia="仿宋_GB2312" w:cs="仿宋_GB2312"/>
          <w:sz w:val="32"/>
          <w:lang w:eastAsia="zh-CN"/>
        </w:rPr>
        <w:t>；</w:t>
      </w:r>
    </w:p>
    <w:p>
      <w:pPr>
        <w:widowControl w:val="0"/>
        <w:wordWrap/>
        <w:adjustRightInd/>
        <w:snapToGrid w:val="0"/>
        <w:spacing w:before="0" w:after="0" w:line="360" w:lineRule="auto"/>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lang w:eastAsia="zh-CN"/>
        </w:rPr>
        <w:t>调查问卷、</w:t>
      </w:r>
      <w:r>
        <w:rPr>
          <w:rFonts w:hint="eastAsia" w:ascii="仿宋_GB2312" w:hAnsi="仿宋_GB2312" w:eastAsia="仿宋_GB2312" w:cs="仿宋_GB2312"/>
          <w:sz w:val="32"/>
          <w:szCs w:val="32"/>
        </w:rPr>
        <w:t>民主评议。</w:t>
      </w:r>
    </w:p>
    <w:p>
      <w:pPr>
        <w:numPr>
          <w:ilvl w:val="0"/>
          <w:numId w:val="0"/>
        </w:numPr>
        <w:wordWrap/>
        <w:adjustRightInd/>
        <w:snapToGrid w:val="0"/>
        <w:spacing w:before="0" w:after="0" w:line="360" w:lineRule="auto"/>
        <w:ind w:leftChars="200" w:right="0"/>
        <w:textAlignment w:val="auto"/>
        <w:outlineLvl w:val="9"/>
        <w:rPr>
          <w:rFonts w:hint="eastAsia" w:ascii="宋体" w:hAnsi="宋体"/>
          <w:sz w:val="32"/>
          <w:lang w:val="en-US" w:eastAsia="zh-CN"/>
        </w:rPr>
      </w:pPr>
      <w:r>
        <w:rPr>
          <w:rFonts w:hint="eastAsia" w:ascii="黑体" w:hAnsi="黑体" w:eastAsia="黑体" w:cs="黑体"/>
          <w:sz w:val="32"/>
          <w:szCs w:val="32"/>
        </w:rPr>
        <w:t>四、监督检查程序</w:t>
      </w:r>
    </w:p>
    <w:p>
      <w:pPr>
        <w:widowControl w:val="0"/>
        <w:numPr>
          <w:ilvl w:val="0"/>
          <w:numId w:val="0"/>
        </w:numPr>
        <w:wordWrap/>
        <w:adjustRightInd/>
        <w:snapToGrid w:val="0"/>
        <w:spacing w:before="0" w:after="0" w:line="360" w:lineRule="auto"/>
        <w:ind w:right="0"/>
        <w:textAlignment w:val="auto"/>
        <w:outlineLvl w:val="9"/>
        <w:rPr>
          <w:rFonts w:hint="eastAsia" w:ascii="仿宋_GB2312" w:hAnsi="仿宋_GB2312" w:eastAsia="仿宋_GB2312" w:cs="仿宋_GB2312"/>
          <w:sz w:val="32"/>
          <w:lang w:val="en-US" w:eastAsia="zh-CN"/>
        </w:rPr>
      </w:pPr>
      <w:r>
        <w:rPr>
          <w:rFonts w:hint="eastAsia" w:ascii="宋体" w:hAnsi="宋体"/>
          <w:sz w:val="32"/>
          <w:lang w:val="en-US" w:eastAsia="zh-CN"/>
        </w:rPr>
        <w:t xml:space="preserve">   </w:t>
      </w:r>
      <w:r>
        <w:rPr>
          <w:rFonts w:hint="eastAsia" w:ascii="仿宋_GB2312" w:hAnsi="仿宋_GB2312" w:eastAsia="仿宋_GB2312" w:cs="仿宋_GB2312"/>
          <w:sz w:val="32"/>
          <w:lang w:val="en-US" w:eastAsia="zh-CN"/>
        </w:rPr>
        <w:t xml:space="preserve"> 1.定期或不定期对监督检查对象行政执法情况进行全面检查；</w:t>
      </w:r>
    </w:p>
    <w:p>
      <w:pPr>
        <w:numPr>
          <w:ilvl w:val="0"/>
          <w:numId w:val="0"/>
        </w:numPr>
        <w:wordWrap/>
        <w:adjustRightInd/>
        <w:snapToGrid w:val="0"/>
        <w:spacing w:before="0" w:after="0" w:line="360" w:lineRule="auto"/>
        <w:ind w:right="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 xml:space="preserve">    2.</w:t>
      </w:r>
      <w:r>
        <w:rPr>
          <w:rFonts w:hint="eastAsia" w:ascii="仿宋_GB2312" w:hAnsi="仿宋_GB2312" w:eastAsia="仿宋_GB2312" w:cs="仿宋_GB2312"/>
          <w:sz w:val="32"/>
          <w:lang w:eastAsia="zh-CN"/>
        </w:rPr>
        <w:t>针对某一项具体工作，对监督检查对象的工作情况进行专项检查；</w:t>
      </w:r>
    </w:p>
    <w:p>
      <w:pPr>
        <w:widowControl w:val="0"/>
        <w:numPr>
          <w:ilvl w:val="0"/>
          <w:numId w:val="1"/>
        </w:numPr>
        <w:wordWrap/>
        <w:adjustRightInd/>
        <w:snapToGrid w:val="0"/>
        <w:spacing w:before="0" w:after="0" w:line="360" w:lineRule="auto"/>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lang w:eastAsia="zh-CN"/>
        </w:rPr>
        <w:t>对监督检查对象行政执法活动的全过程进行事先要求、事中检查、事后监督；</w:t>
      </w:r>
    </w:p>
    <w:p>
      <w:pPr>
        <w:widowControl w:val="0"/>
        <w:numPr>
          <w:ilvl w:val="0"/>
          <w:numId w:val="0"/>
        </w:numPr>
        <w:wordWrap/>
        <w:adjustRightInd/>
        <w:snapToGrid w:val="0"/>
        <w:spacing w:before="0" w:after="0" w:line="360" w:lineRule="auto"/>
        <w:ind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lang w:val="en-US" w:eastAsia="zh-CN"/>
        </w:rPr>
        <w:t xml:space="preserve">    4.</w:t>
      </w:r>
      <w:r>
        <w:rPr>
          <w:rFonts w:hint="eastAsia" w:ascii="仿宋_GB2312" w:hAnsi="仿宋_GB2312" w:eastAsia="仿宋_GB2312" w:cs="仿宋_GB2312"/>
          <w:sz w:val="32"/>
        </w:rPr>
        <w:t>在监督检查中发现的违法或不当行为，应及时予以纠正，并给与业务指导。</w:t>
      </w:r>
    </w:p>
    <w:p>
      <w:pPr>
        <w:widowControl w:val="0"/>
        <w:wordWrap/>
        <w:adjustRightInd/>
        <w:snapToGrid w:val="0"/>
        <w:spacing w:before="0" w:after="0" w:line="360" w:lineRule="auto"/>
        <w:ind w:left="0" w:leftChars="0" w:right="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五、监督检查</w:t>
      </w:r>
      <w:r>
        <w:rPr>
          <w:rFonts w:hint="eastAsia" w:ascii="黑体" w:hAnsi="黑体" w:eastAsia="黑体" w:cs="黑体"/>
          <w:sz w:val="32"/>
          <w:szCs w:val="32"/>
          <w:lang w:eastAsia="zh-CN"/>
        </w:rPr>
        <w:t>措施</w:t>
      </w:r>
    </w:p>
    <w:p>
      <w:pPr>
        <w:widowControl w:val="0"/>
        <w:wordWrap/>
        <w:adjustRightInd/>
        <w:snapToGrid w:val="0"/>
        <w:spacing w:before="0" w:after="0" w:line="360" w:lineRule="auto"/>
        <w:ind w:right="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w:t>
      </w:r>
      <w:r>
        <w:rPr>
          <w:rFonts w:hint="eastAsia" w:ascii="宋体" w:hAnsi="宋体"/>
          <w:sz w:val="32"/>
          <w:lang w:val="en-US" w:eastAsia="zh-CN"/>
        </w:rPr>
        <w:t>1.</w:t>
      </w:r>
      <w:r>
        <w:rPr>
          <w:rFonts w:hint="eastAsia" w:ascii="仿宋_GB2312" w:hAnsi="仿宋_GB2312" w:cs="仿宋_GB2312"/>
          <w:sz w:val="32"/>
          <w:szCs w:val="32"/>
          <w:lang w:val="en-US" w:eastAsia="zh-CN"/>
        </w:rPr>
        <w:t>建立教育行政执法工作定期报告制度，</w:t>
      </w:r>
      <w:r>
        <w:rPr>
          <w:rFonts w:hint="default" w:ascii="仿宋_GB2312" w:hAnsi="仿宋_GB2312" w:cs="仿宋_GB2312"/>
          <w:sz w:val="32"/>
          <w:szCs w:val="32"/>
          <w:lang w:val="en-US" w:eastAsia="zh-CN"/>
        </w:rPr>
        <w:t>教育行政有关执法</w:t>
      </w:r>
      <w:r>
        <w:rPr>
          <w:rFonts w:hint="eastAsia" w:ascii="仿宋_GB2312" w:hAnsi="仿宋_GB2312" w:cs="仿宋_GB2312"/>
          <w:sz w:val="32"/>
          <w:szCs w:val="32"/>
          <w:lang w:val="en-US" w:eastAsia="zh-CN"/>
        </w:rPr>
        <w:t>科</w:t>
      </w:r>
      <w:r>
        <w:rPr>
          <w:rFonts w:hint="default" w:ascii="仿宋_GB2312" w:hAnsi="仿宋_GB2312" w:cs="仿宋_GB2312"/>
          <w:sz w:val="32"/>
          <w:szCs w:val="32"/>
          <w:lang w:val="en-US" w:eastAsia="zh-CN"/>
        </w:rPr>
        <w:t>室和行政执法人员应当定期向教育</w:t>
      </w:r>
      <w:r>
        <w:rPr>
          <w:rFonts w:hint="eastAsia" w:ascii="仿宋_GB2312" w:hAnsi="仿宋_GB2312" w:cs="仿宋_GB2312"/>
          <w:sz w:val="32"/>
          <w:szCs w:val="32"/>
          <w:lang w:val="en-US" w:eastAsia="zh-CN"/>
        </w:rPr>
        <w:t>局党委</w:t>
      </w:r>
      <w:r>
        <w:rPr>
          <w:rFonts w:hint="default" w:ascii="仿宋_GB2312" w:hAnsi="仿宋_GB2312" w:cs="仿宋_GB2312"/>
          <w:sz w:val="32"/>
          <w:szCs w:val="32"/>
          <w:lang w:val="en-US" w:eastAsia="zh-CN"/>
        </w:rPr>
        <w:t>报告教育行政执法工作情况</w:t>
      </w:r>
      <w:r>
        <w:rPr>
          <w:rFonts w:hint="eastAsia" w:ascii="仿宋_GB2312" w:hAnsi="仿宋_GB2312" w:cs="仿宋_GB2312"/>
          <w:sz w:val="32"/>
          <w:szCs w:val="32"/>
          <w:lang w:val="en-US" w:eastAsia="zh-CN"/>
        </w:rPr>
        <w:t>；</w:t>
      </w:r>
    </w:p>
    <w:p>
      <w:pPr>
        <w:widowControl w:val="0"/>
        <w:wordWrap/>
        <w:adjustRightInd/>
        <w:snapToGrid w:val="0"/>
        <w:spacing w:before="0" w:after="0" w:line="36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建立健全投诉举报机制，公开投诉举报的方式方法</w:t>
      </w:r>
      <w:r>
        <w:rPr>
          <w:rFonts w:hint="eastAsia" w:ascii="仿宋" w:hAnsi="仿宋" w:eastAsia="仿宋" w:cs="仿宋"/>
          <w:sz w:val="32"/>
          <w:szCs w:val="32"/>
          <w:lang w:eastAsia="zh-CN"/>
        </w:rPr>
        <w:t>，</w:t>
      </w:r>
      <w:r>
        <w:rPr>
          <w:rFonts w:hint="eastAsia" w:ascii="仿宋" w:hAnsi="仿宋" w:eastAsia="仿宋" w:cs="仿宋"/>
          <w:sz w:val="32"/>
          <w:szCs w:val="32"/>
        </w:rPr>
        <w:t>对受理的案例及时查实、及时反馈。</w:t>
      </w:r>
    </w:p>
    <w:p>
      <w:pPr>
        <w:widowControl w:val="0"/>
        <w:wordWrap/>
        <w:adjustRightInd/>
        <w:snapToGrid w:val="0"/>
        <w:spacing w:before="0" w:after="0" w:line="360" w:lineRule="auto"/>
        <w:ind w:right="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3.建立</w:t>
      </w:r>
      <w:r>
        <w:rPr>
          <w:rFonts w:hint="eastAsia" w:ascii="仿宋_GB2312" w:hAnsi="仿宋_GB2312" w:eastAsia="仿宋_GB2312" w:cs="仿宋_GB2312"/>
          <w:sz w:val="32"/>
          <w:szCs w:val="32"/>
          <w:lang w:val="en-US" w:eastAsia="zh-CN"/>
        </w:rPr>
        <w:t>暗访巡察</w:t>
      </w:r>
      <w:r>
        <w:rPr>
          <w:rFonts w:hint="eastAsia" w:ascii="仿宋_GB2312" w:hAnsi="仿宋_GB2312" w:cs="仿宋_GB2312"/>
          <w:sz w:val="32"/>
          <w:szCs w:val="32"/>
          <w:lang w:val="en-US" w:eastAsia="zh-CN"/>
        </w:rPr>
        <w:t>制度</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随时抽检，</w:t>
      </w:r>
      <w:r>
        <w:rPr>
          <w:rFonts w:hint="eastAsia" w:ascii="仿宋_GB2312" w:hAnsi="仿宋_GB2312" w:eastAsia="仿宋_GB2312" w:cs="仿宋_GB2312"/>
          <w:sz w:val="32"/>
          <w:szCs w:val="32"/>
          <w:lang w:val="en-US" w:eastAsia="zh-CN"/>
        </w:rPr>
        <w:t>向有关人员了解情况</w:t>
      </w:r>
      <w:r>
        <w:rPr>
          <w:rFonts w:hint="eastAsia" w:ascii="仿宋_GB2312" w:hAnsi="仿宋_GB2312" w:cs="仿宋_GB2312"/>
          <w:sz w:val="32"/>
          <w:szCs w:val="32"/>
          <w:lang w:val="en-US" w:eastAsia="zh-CN"/>
        </w:rPr>
        <w:t>，巡察结果向上级相关部门汇报</w:t>
      </w:r>
      <w:r>
        <w:rPr>
          <w:rFonts w:hint="eastAsia" w:ascii="仿宋_GB2312" w:hAnsi="仿宋_GB2312" w:eastAsia="仿宋_GB2312" w:cs="仿宋_GB2312"/>
          <w:sz w:val="32"/>
          <w:szCs w:val="32"/>
          <w:lang w:val="en-US" w:eastAsia="zh-CN"/>
        </w:rPr>
        <w:t>。</w:t>
      </w:r>
    </w:p>
    <w:p>
      <w:pPr>
        <w:widowControl w:val="0"/>
        <w:wordWrap/>
        <w:adjustRightInd/>
        <w:snapToGrid w:val="0"/>
        <w:spacing w:before="0" w:after="0" w:line="360" w:lineRule="auto"/>
        <w:ind w:left="0" w:leftChars="0" w:right="0" w:firstLine="640" w:firstLineChars="200"/>
        <w:textAlignment w:val="auto"/>
        <w:outlineLvl w:val="9"/>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4.</w:t>
      </w:r>
      <w:r>
        <w:rPr>
          <w:rFonts w:hint="default" w:ascii="仿宋_GB2312" w:hAnsi="仿宋_GB2312" w:cs="仿宋_GB2312"/>
          <w:sz w:val="32"/>
          <w:szCs w:val="32"/>
          <w:lang w:val="en-US" w:eastAsia="zh-CN"/>
        </w:rPr>
        <w:t>监督检查结果将作为年终考评的主要依据。</w:t>
      </w:r>
    </w:p>
    <w:p>
      <w:pPr>
        <w:widowControl w:val="0"/>
        <w:wordWrap/>
        <w:adjustRightInd/>
        <w:snapToGrid w:val="0"/>
        <w:spacing w:before="0" w:after="0" w:line="360" w:lineRule="auto"/>
        <w:ind w:left="0" w:leftChars="0" w:right="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六、监督检查处理</w:t>
      </w:r>
    </w:p>
    <w:p>
      <w:pPr>
        <w:widowControl w:val="0"/>
        <w:wordWrap/>
        <w:adjustRightInd/>
        <w:snapToGrid w:val="0"/>
        <w:spacing w:before="0" w:after="0" w:line="360" w:lineRule="auto"/>
        <w:ind w:left="0" w:leftChars="0" w:right="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auto"/>
          <w:sz w:val="32"/>
          <w:szCs w:val="32"/>
        </w:rPr>
        <w:t>在监督管理过程中，发现并查实教育行政执法部门及其工作人员存在违规违纪或者不适当情形的，应责令其及时纠正并上报纠正情况</w:t>
      </w:r>
      <w:r>
        <w:rPr>
          <w:rFonts w:hint="eastAsia" w:ascii="仿宋_GB2312" w:hAnsi="仿宋_GB2312" w:eastAsia="仿宋_GB2312" w:cs="仿宋_GB2312"/>
          <w:color w:val="auto"/>
          <w:sz w:val="32"/>
          <w:szCs w:val="32"/>
          <w:lang w:eastAsia="zh-CN"/>
        </w:rPr>
        <w:t>；</w:t>
      </w:r>
    </w:p>
    <w:p>
      <w:pPr>
        <w:widowControl w:val="0"/>
        <w:wordWrap/>
        <w:adjustRightInd/>
        <w:snapToGrid w:val="0"/>
        <w:spacing w:before="0" w:after="0" w:line="360" w:lineRule="auto"/>
        <w:ind w:left="0" w:leftChars="0" w:right="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w:t>
      </w:r>
      <w:r>
        <w:rPr>
          <w:rFonts w:hint="eastAsia" w:ascii="仿宋_GB2312" w:hAnsi="仿宋_GB2312" w:eastAsia="仿宋_GB2312" w:cs="仿宋_GB2312"/>
          <w:color w:val="auto"/>
          <w:sz w:val="32"/>
          <w:szCs w:val="32"/>
          <w:lang w:eastAsia="zh-CN"/>
        </w:rPr>
        <w:t>视情节轻重</w:t>
      </w:r>
      <w:r>
        <w:rPr>
          <w:rFonts w:hint="eastAsia" w:ascii="仿宋_GB2312" w:hAnsi="仿宋_GB2312" w:eastAsia="仿宋_GB2312" w:cs="仿宋_GB2312"/>
          <w:color w:val="auto"/>
          <w:sz w:val="32"/>
          <w:szCs w:val="32"/>
        </w:rPr>
        <w:t>，分别给予书面检查、通报批评、调离工作岗位或者交由纪检依照有关规定处理</w:t>
      </w:r>
      <w:r>
        <w:rPr>
          <w:rFonts w:hint="eastAsia" w:ascii="仿宋_GB2312" w:hAnsi="仿宋_GB2312" w:eastAsia="仿宋_GB2312" w:cs="仿宋_GB2312"/>
          <w:color w:val="auto"/>
          <w:sz w:val="32"/>
          <w:szCs w:val="32"/>
          <w:lang w:eastAsia="zh-CN"/>
        </w:rPr>
        <w:t>；造成严重后果的，按照相应法律法规进行责任追究。</w:t>
      </w:r>
    </w:p>
    <w:p>
      <w:pPr>
        <w:widowControl w:val="0"/>
        <w:wordWrap/>
        <w:adjustRightInd/>
        <w:snapToGrid w:val="0"/>
        <w:spacing w:before="0" w:after="0" w:line="360" w:lineRule="auto"/>
        <w:ind w:left="0" w:leftChars="0" w:right="0"/>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3.对于</w:t>
      </w:r>
      <w:r>
        <w:rPr>
          <w:rFonts w:hint="eastAsia" w:ascii="仿宋_GB2312" w:hAnsi="仿宋_GB2312" w:eastAsia="仿宋_GB2312" w:cs="仿宋_GB2312"/>
          <w:sz w:val="32"/>
          <w:szCs w:val="32"/>
        </w:rPr>
        <w:t>秉公执法、不徇私情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认真履行职责，依法执行公务成绩显著的</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报请有关部门批准给予表彰奖励。</w:t>
      </w:r>
      <w:r>
        <w:rPr>
          <w:rFonts w:hint="eastAsia" w:ascii="仿宋_GB2312" w:hAnsi="仿宋_GB2312" w:eastAsia="仿宋_GB2312" w:cs="仿宋_GB2312"/>
          <w:sz w:val="32"/>
          <w:szCs w:val="32"/>
        </w:rPr>
        <w:br w:type="textWrapping"/>
      </w:r>
      <w:r>
        <w:rPr>
          <w:rFonts w:hint="default" w:ascii="仿宋" w:hAnsi="仿宋" w:eastAsia="仿宋" w:cs="仿宋"/>
          <w:sz w:val="32"/>
          <w:szCs w:val="32"/>
        </w:rPr>
        <w:t>　　　</w:t>
      </w:r>
    </w:p>
    <w:p>
      <w:pPr>
        <w:widowControl w:val="0"/>
        <w:wordWrap/>
        <w:adjustRightInd/>
        <w:snapToGrid w:val="0"/>
        <w:spacing w:before="0" w:after="0" w:line="360" w:lineRule="auto"/>
        <w:ind w:left="0" w:leftChars="0" w:right="0"/>
        <w:textAlignment w:val="auto"/>
        <w:outlineLvl w:val="9"/>
        <w:rPr>
          <w:rFonts w:hint="eastAsia" w:ascii="黑体" w:hAnsi="黑体" w:eastAsia="黑体" w:cs="黑体"/>
          <w:sz w:val="32"/>
          <w:szCs w:val="32"/>
        </w:rPr>
      </w:pPr>
    </w:p>
    <w:p>
      <w:pPr>
        <w:widowControl w:val="0"/>
        <w:wordWrap/>
        <w:adjustRightInd/>
        <w:snapToGrid w:val="0"/>
        <w:spacing w:before="0" w:after="0" w:line="360" w:lineRule="auto"/>
        <w:ind w:left="0" w:leftChars="0" w:right="0"/>
        <w:textAlignment w:val="auto"/>
        <w:outlineLvl w:val="9"/>
        <w:rPr>
          <w:rFonts w:hint="eastAsia" w:ascii="仿宋_GB2312" w:hAnsi="仿宋_GB2312" w:cs="仿宋_GB2312"/>
          <w:kern w:val="0"/>
          <w:sz w:val="32"/>
          <w:szCs w:val="32"/>
        </w:rPr>
      </w:pPr>
      <w:r>
        <w:rPr>
          <w:rFonts w:hint="eastAsia" w:ascii="黑体" w:hAnsi="黑体" w:eastAsia="黑体" w:cs="黑体"/>
          <w:sz w:val="32"/>
          <w:szCs w:val="32"/>
        </w:rPr>
        <w:t xml:space="preserve">                       </w:t>
      </w:r>
      <w:r>
        <w:rPr>
          <w:rFonts w:hint="eastAsia" w:ascii="仿宋_GB2312" w:hAnsi="仿宋_GB2312" w:cs="仿宋_GB2312"/>
          <w:sz w:val="32"/>
          <w:szCs w:val="32"/>
        </w:rPr>
        <w:t xml:space="preserve"> </w:t>
      </w:r>
      <w:r>
        <w:rPr>
          <w:rFonts w:hint="eastAsia" w:ascii="仿宋_GB2312" w:hAnsi="仿宋_GB2312" w:cs="仿宋_GB2312"/>
          <w:kern w:val="0"/>
          <w:sz w:val="32"/>
          <w:szCs w:val="32"/>
        </w:rPr>
        <w:t>本制度从2015年</w:t>
      </w:r>
      <w:r>
        <w:rPr>
          <w:rFonts w:hint="eastAsia" w:ascii="仿宋_GB2312" w:hAnsi="仿宋_GB2312" w:cs="仿宋_GB2312"/>
          <w:kern w:val="0"/>
          <w:sz w:val="32"/>
          <w:szCs w:val="32"/>
          <w:lang w:val="en-US" w:eastAsia="zh-CN"/>
        </w:rPr>
        <w:t>9</w:t>
      </w:r>
      <w:r>
        <w:rPr>
          <w:rFonts w:hint="eastAsia" w:ascii="仿宋_GB2312" w:hAnsi="仿宋_GB2312" w:cs="仿宋_GB2312"/>
          <w:kern w:val="0"/>
          <w:sz w:val="32"/>
          <w:szCs w:val="32"/>
        </w:rPr>
        <w:t>月1日起执行。</w:t>
      </w:r>
    </w:p>
    <w:p>
      <w:pPr>
        <w:widowControl w:val="0"/>
        <w:wordWrap/>
        <w:adjustRightInd/>
        <w:snapToGrid w:val="0"/>
        <w:spacing w:before="0" w:after="0" w:line="360" w:lineRule="auto"/>
        <w:ind w:left="0" w:leftChars="0" w:right="0"/>
        <w:textAlignment w:val="auto"/>
        <w:outlineLvl w:val="9"/>
        <w:rPr>
          <w:rFonts w:hint="eastAsia" w:ascii="仿宋_GB2312" w:hAnsi="仿宋_GB2312" w:cs="仿宋_GB2312"/>
          <w:kern w:val="0"/>
          <w:sz w:val="32"/>
          <w:szCs w:val="32"/>
        </w:rPr>
      </w:pPr>
    </w:p>
    <w:p>
      <w:pPr>
        <w:wordWrap/>
        <w:adjustRightInd/>
        <w:snapToGrid/>
        <w:spacing w:before="0" w:after="0" w:line="240" w:lineRule="auto"/>
        <w:ind w:left="0" w:leftChars="0" w:right="0" w:firstLine="640" w:firstLineChars="200"/>
        <w:textAlignment w:val="auto"/>
        <w:outlineLvl w:val="9"/>
        <w:rPr>
          <w:rFonts w:hint="default" w:ascii="宋体" w:hAnsi="宋体"/>
          <w:sz w:val="32"/>
        </w:rPr>
      </w:pPr>
      <w:bookmarkStart w:id="0" w:name="_GoBack"/>
      <w:bookmarkEnd w:id="0"/>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9060B"/>
    <w:multiLevelType w:val="singleLevel"/>
    <w:tmpl w:val="5609060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DE01F0F"/>
    <w:rsid w:val="66DF05CE"/>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仿宋_GB2312" w:cs="Times New Roman"/>
      <w:kern w:val="10"/>
      <w:sz w:val="34"/>
      <w:szCs w:val="34"/>
      <w:lang w:val="en-US" w:eastAsia="zh-CN" w:bidi="ar-SA"/>
    </w:rPr>
  </w:style>
  <w:style w:type="character" w:default="1" w:styleId="3">
    <w:name w:val="Default Paragraph Font"/>
    <w:unhideWhenUsed/>
    <w:uiPriority w:val="0"/>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character" w:styleId="4">
    <w:name w:val="page number"/>
    <w:basedOn w:val="3"/>
    <w:unhideWhenUsed/>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2015-09-21T03:04:00Z</dcterms:created>
  <dc:creator>Administrator</dc:creator>
  <cp:lastModifiedBy>lenovo</cp:lastModifiedBy>
  <cp:lastPrinted>2015-09-28T09:19:00Z</cp:lastPrinted>
  <dcterms:modified xsi:type="dcterms:W3CDTF">2016-09-02T05:52:32Z</dcterms:modified>
  <dc:title>附件3-1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