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打击假冒特种作业操作证专项行动统计表</w:t>
      </w:r>
    </w:p>
    <w:tbl>
      <w:tblPr>
        <w:tblStyle w:val="4"/>
        <w:tblpPr w:leftFromText="180" w:rightFromText="180" w:vertAnchor="text" w:horzAnchor="page" w:tblpX="1513" w:tblpY="571"/>
        <w:tblOverlap w:val="never"/>
        <w:tblW w:w="13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1588"/>
        <w:gridCol w:w="1564"/>
        <w:gridCol w:w="1678"/>
        <w:gridCol w:w="2460"/>
        <w:gridCol w:w="1230"/>
        <w:gridCol w:w="1305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  <w:t>特种作业考核发证种类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  <w:t>发证范围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  <w:t>发证权限（市本级/县市区级）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  <w:t>法律依据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  <w:t>专项行动负责人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252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50602020203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506020202030204"/>
    <w:charset w:val="01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84CC3"/>
    <w:rsid w:val="0A4D691C"/>
    <w:rsid w:val="0FB84CC3"/>
    <w:rsid w:val="239526A6"/>
    <w:rsid w:val="3DED3378"/>
    <w:rsid w:val="6B99206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2018-07-16T02:33:00Z</dcterms:created>
  <dc:creator>刘懿</dc:creator>
  <cp:lastModifiedBy>刘懿</cp:lastModifiedBy>
  <dcterms:modified xsi:type="dcterms:W3CDTF">2018-08-08T04:16:35Z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